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23977" w14:textId="77777777" w:rsidR="00F83686" w:rsidRPr="00932551" w:rsidRDefault="00932551" w:rsidP="00F83686">
      <w:pPr>
        <w:jc w:val="center"/>
        <w:rPr>
          <w:b/>
          <w:sz w:val="32"/>
          <w:szCs w:val="32"/>
        </w:rPr>
      </w:pPr>
      <w:bookmarkStart w:id="0" w:name="_GoBack"/>
      <w:bookmarkEnd w:id="0"/>
      <w:r w:rsidRPr="00932551">
        <w:rPr>
          <w:b/>
          <w:sz w:val="32"/>
          <w:szCs w:val="32"/>
        </w:rPr>
        <w:t>Counter Culture</w:t>
      </w:r>
    </w:p>
    <w:p w14:paraId="0FF32A74" w14:textId="77777777" w:rsidR="00932551" w:rsidRDefault="00932551" w:rsidP="00932551">
      <w:pPr>
        <w:spacing w:after="160" w:line="259" w:lineRule="auto"/>
        <w:jc w:val="center"/>
        <w:rPr>
          <w:rFonts w:eastAsia="Calibri" w:cstheme="minorHAnsi"/>
          <w:b/>
          <w:sz w:val="32"/>
          <w:szCs w:val="32"/>
          <w:lang w:val="en-US"/>
        </w:rPr>
      </w:pPr>
      <w:r w:rsidRPr="00932551">
        <w:rPr>
          <w:rFonts w:eastAsia="Calibri" w:cstheme="minorHAnsi"/>
          <w:b/>
          <w:sz w:val="32"/>
          <w:szCs w:val="32"/>
          <w:lang w:val="en-US"/>
        </w:rPr>
        <w:t>Collaborative Innovation Project for Cheltenham Economic Recovery</w:t>
      </w:r>
    </w:p>
    <w:p w14:paraId="7EB05BA9" w14:textId="77777777" w:rsidR="00932551" w:rsidRPr="00932551" w:rsidRDefault="00932551" w:rsidP="00932551">
      <w:pPr>
        <w:spacing w:after="160" w:line="259" w:lineRule="auto"/>
        <w:jc w:val="center"/>
        <w:rPr>
          <w:rFonts w:eastAsia="Calibri" w:cstheme="minorHAnsi"/>
          <w:b/>
          <w:sz w:val="32"/>
          <w:szCs w:val="32"/>
          <w:lang w:val="en-US"/>
        </w:rPr>
      </w:pPr>
    </w:p>
    <w:p w14:paraId="4EB95316" w14:textId="77777777" w:rsidR="00211A8B" w:rsidRDefault="00932551" w:rsidP="00F83686">
      <w:pPr>
        <w:jc w:val="center"/>
      </w:pPr>
      <w:r>
        <w:t xml:space="preserve">Culture holds up a mirror to our tired streets, squares, buildings and civic spaces and asks us to look again at what makes them special. It gives people the opportunity to connect their individual stories with collective narratives, helping to make their place feel like home. Culture provides people with ways to explore, celebrate and create shared experiences. It brings depth and meaning to people’s experience of a place, highlighting the extraordinary in the ordinary. </w:t>
      </w:r>
    </w:p>
    <w:p w14:paraId="36B55406" w14:textId="77777777" w:rsidR="00932551" w:rsidRPr="005568A7" w:rsidRDefault="00932551" w:rsidP="00F83686">
      <w:pPr>
        <w:jc w:val="center"/>
        <w:rPr>
          <w:b/>
          <w:i/>
          <w:sz w:val="28"/>
          <w:szCs w:val="28"/>
        </w:rPr>
      </w:pPr>
      <w:r w:rsidRPr="005568A7">
        <w:rPr>
          <w:i/>
        </w:rPr>
        <w:t>People, culture, place, The role of culture in placemaking, Local Government Association</w:t>
      </w:r>
    </w:p>
    <w:p w14:paraId="65654CA2" w14:textId="77777777" w:rsidR="00932551" w:rsidRDefault="00932551" w:rsidP="00932551">
      <w:pPr>
        <w:jc w:val="center"/>
        <w:rPr>
          <w:b/>
          <w:sz w:val="28"/>
          <w:szCs w:val="28"/>
        </w:rPr>
      </w:pPr>
      <w:r w:rsidRPr="00F83686">
        <w:rPr>
          <w:b/>
          <w:sz w:val="28"/>
          <w:szCs w:val="28"/>
        </w:rPr>
        <w:t>Project Initiation Document</w:t>
      </w:r>
    </w:p>
    <w:p w14:paraId="7A39D69D" w14:textId="77777777" w:rsidR="00932551" w:rsidRDefault="00932551" w:rsidP="00F83686">
      <w:pPr>
        <w:jc w:val="center"/>
        <w:rPr>
          <w:b/>
          <w:sz w:val="28"/>
          <w:szCs w:val="28"/>
        </w:rPr>
      </w:pPr>
    </w:p>
    <w:p w14:paraId="17EB373B" w14:textId="3CAFF030" w:rsidR="00932551" w:rsidRDefault="001070A8" w:rsidP="00F83686">
      <w:pPr>
        <w:jc w:val="center"/>
        <w:rPr>
          <w:b/>
          <w:sz w:val="28"/>
          <w:szCs w:val="28"/>
        </w:rPr>
      </w:pPr>
      <w:r>
        <w:rPr>
          <w:b/>
          <w:noProof/>
          <w:sz w:val="28"/>
          <w:szCs w:val="28"/>
          <w:lang w:eastAsia="en-GB"/>
        </w:rPr>
        <w:drawing>
          <wp:inline distT="0" distB="0" distL="0" distR="0" wp14:anchorId="24A3591A" wp14:editId="54C5895E">
            <wp:extent cx="5731510" cy="4056276"/>
            <wp:effectExtent l="0" t="0" r="2540" b="1905"/>
            <wp:docPr id="1" name="Picture 1" descr="\\vmbusdata.cbc-local.cbc.gov.uk\built environment\ECONOMIC DEVELOPMENT\Economic development\Projects\project 15_Counter Culture\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busdata.cbc-local.cbc.gov.uk\built environment\ECONOMIC DEVELOPMENT\Economic development\Projects\project 15_Counter Culture\slid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56276"/>
                    </a:xfrm>
                    <a:prstGeom prst="rect">
                      <a:avLst/>
                    </a:prstGeom>
                    <a:noFill/>
                    <a:ln>
                      <a:noFill/>
                    </a:ln>
                  </pic:spPr>
                </pic:pic>
              </a:graphicData>
            </a:graphic>
          </wp:inline>
        </w:drawing>
      </w:r>
    </w:p>
    <w:p w14:paraId="76E60E7E" w14:textId="77777777" w:rsidR="00932551" w:rsidRDefault="00932551" w:rsidP="001070A8">
      <w:pPr>
        <w:rPr>
          <w:b/>
          <w:sz w:val="28"/>
          <w:szCs w:val="28"/>
        </w:rPr>
      </w:pPr>
    </w:p>
    <w:p w14:paraId="72C6FAF8" w14:textId="77777777" w:rsidR="00932551" w:rsidRDefault="00932551" w:rsidP="00F83686">
      <w:pPr>
        <w:jc w:val="center"/>
        <w:rPr>
          <w:b/>
          <w:sz w:val="28"/>
          <w:szCs w:val="28"/>
        </w:rPr>
      </w:pPr>
    </w:p>
    <w:p w14:paraId="5696FE65" w14:textId="13FCDE06" w:rsidR="00932551" w:rsidRDefault="004D4672" w:rsidP="00F83686">
      <w:pPr>
        <w:jc w:val="center"/>
        <w:rPr>
          <w:b/>
          <w:sz w:val="28"/>
          <w:szCs w:val="28"/>
        </w:rPr>
      </w:pPr>
      <w:r>
        <w:rPr>
          <w:b/>
          <w:sz w:val="28"/>
          <w:szCs w:val="28"/>
        </w:rPr>
        <w:t>December</w:t>
      </w:r>
      <w:r w:rsidR="00932551">
        <w:rPr>
          <w:b/>
          <w:sz w:val="28"/>
          <w:szCs w:val="28"/>
        </w:rPr>
        <w:t xml:space="preserve"> 2020</w:t>
      </w:r>
    </w:p>
    <w:p w14:paraId="79AA3DBB" w14:textId="77777777" w:rsidR="00932551" w:rsidRDefault="00932551">
      <w:pPr>
        <w:rPr>
          <w:b/>
          <w:sz w:val="28"/>
          <w:szCs w:val="28"/>
        </w:rPr>
      </w:pPr>
      <w:r>
        <w:rPr>
          <w:b/>
          <w:sz w:val="28"/>
          <w:szCs w:val="28"/>
        </w:rPr>
        <w:br w:type="page"/>
      </w:r>
    </w:p>
    <w:p w14:paraId="130F355C" w14:textId="77777777" w:rsidR="00932551" w:rsidRDefault="00932551">
      <w:pPr>
        <w:rPr>
          <w:b/>
        </w:rPr>
      </w:pPr>
      <w:r>
        <w:rPr>
          <w:b/>
        </w:rPr>
        <w:lastRenderedPageBreak/>
        <w:t>Introduction</w:t>
      </w:r>
    </w:p>
    <w:p w14:paraId="497EB8CD" w14:textId="2F3D7A51" w:rsidR="00211A8B" w:rsidRDefault="00211A8B" w:rsidP="00932551">
      <w:r w:rsidRPr="00211A8B">
        <w:t>Cheltenham, as an epicentre of cultural and digital activity, has the unique potential to place a collaborative innovation project at the heart of its economic and wellbeing recovery. By aligning the town’s cultural, business, environmental, community and digit</w:t>
      </w:r>
      <w:r>
        <w:t>al ventures,</w:t>
      </w:r>
      <w:r w:rsidRPr="00211A8B">
        <w:t xml:space="preserve"> the Counter Culture project would not only act as a useful tool for post COVID-19 recovery, but also provide a lighthouse example of how Cheltenham, and other towns and cities can </w:t>
      </w:r>
      <w:r w:rsidR="003F02ED" w:rsidRPr="00211A8B">
        <w:t>reju</w:t>
      </w:r>
      <w:r w:rsidR="003F02ED">
        <w:t>v</w:t>
      </w:r>
      <w:r w:rsidR="003F02ED" w:rsidRPr="00211A8B">
        <w:t>enate</w:t>
      </w:r>
      <w:r w:rsidRPr="00211A8B">
        <w:t xml:space="preserve"> and adapt to the changing face of our retail centres.  For Cheltenham, it provides an opportunity on how we can shine a light on the truly unique offering of the town as a cultural and cyber pioneer, linking into ambitions for climate change. The project would ensure Cheltenham effectively maximises the potential of these attributes and USPs to the benefit of local businesses and the wider community</w:t>
      </w:r>
    </w:p>
    <w:p w14:paraId="1D847B06" w14:textId="4886B748" w:rsidR="00932551" w:rsidRDefault="00932551" w:rsidP="00932551">
      <w:r>
        <w:t xml:space="preserve">This </w:t>
      </w:r>
      <w:r w:rsidR="00E02311">
        <w:t>Project Initiation Document (P</w:t>
      </w:r>
      <w:r>
        <w:t>ID</w:t>
      </w:r>
      <w:r w:rsidR="00E02311">
        <w:t>)</w:t>
      </w:r>
      <w:r>
        <w:t xml:space="preserve"> sets the context for a pilot project to test the business case and the opportunity for the project to:</w:t>
      </w:r>
    </w:p>
    <w:p w14:paraId="7E7053E4" w14:textId="77777777" w:rsidR="00932551" w:rsidRDefault="00932551" w:rsidP="00932551">
      <w:pPr>
        <w:pStyle w:val="ListParagraph"/>
        <w:numPr>
          <w:ilvl w:val="0"/>
          <w:numId w:val="7"/>
        </w:numPr>
      </w:pPr>
      <w:r>
        <w:t xml:space="preserve">To feed back into government as an active case study to inspire other local authority areas to </w:t>
      </w:r>
      <w:r w:rsidR="00654369">
        <w:t>address the challenges of vacant units within their retail centres.</w:t>
      </w:r>
    </w:p>
    <w:p w14:paraId="364F534E" w14:textId="77777777" w:rsidR="00932551" w:rsidRDefault="00932551" w:rsidP="00932551">
      <w:pPr>
        <w:pStyle w:val="ListParagraph"/>
        <w:numPr>
          <w:ilvl w:val="0"/>
          <w:numId w:val="7"/>
        </w:numPr>
      </w:pPr>
      <w:r>
        <w:t>To better understand the financial model that would be required to extend the pilot</w:t>
      </w:r>
    </w:p>
    <w:p w14:paraId="1C3BAC62" w14:textId="77777777" w:rsidR="00932551" w:rsidRPr="00932551" w:rsidRDefault="00932551" w:rsidP="00932551">
      <w:pPr>
        <w:pStyle w:val="ListParagraph"/>
        <w:numPr>
          <w:ilvl w:val="0"/>
          <w:numId w:val="7"/>
        </w:numPr>
      </w:pPr>
      <w:r>
        <w:t>To better understand and test solutions for the constraints to accessing and bringing forward vacant units within the context of the counter culture proposal</w:t>
      </w:r>
    </w:p>
    <w:p w14:paraId="3850E54C" w14:textId="77777777" w:rsidR="00211A8B" w:rsidRDefault="00847A2F">
      <w:r w:rsidRPr="00F83686">
        <w:rPr>
          <w:b/>
        </w:rPr>
        <w:t>Objective</w:t>
      </w:r>
      <w:r w:rsidR="00211A8B" w:rsidRPr="00211A8B">
        <w:t xml:space="preserve"> </w:t>
      </w:r>
    </w:p>
    <w:p w14:paraId="12796935" w14:textId="77777777" w:rsidR="00847A2F" w:rsidRPr="00F83686" w:rsidRDefault="00211A8B">
      <w:pPr>
        <w:rPr>
          <w:b/>
        </w:rPr>
      </w:pPr>
      <w:r w:rsidRPr="00932551">
        <w:t xml:space="preserve">Counter Culture </w:t>
      </w:r>
      <w:r>
        <w:t xml:space="preserve">is an innovative project that </w:t>
      </w:r>
      <w:r w:rsidRPr="00932551">
        <w:t>facilitate</w:t>
      </w:r>
      <w:r>
        <w:t xml:space="preserve">s the curation of partnerships between </w:t>
      </w:r>
      <w:r w:rsidRPr="00932551">
        <w:t>local businesses, comm</w:t>
      </w:r>
      <w:r>
        <w:t xml:space="preserve">unities, cultural producers and </w:t>
      </w:r>
      <w:r w:rsidRPr="00932551">
        <w:t xml:space="preserve">digital innovators </w:t>
      </w:r>
      <w:r>
        <w:t xml:space="preserve">to repurpose empty retail </w:t>
      </w:r>
      <w:r w:rsidRPr="00932551">
        <w:t>units across Cheltenham</w:t>
      </w:r>
      <w:r>
        <w:t xml:space="preserve"> town centre in response to the impacts of the Covid-19 pandemic in the first instance, but with the ambition that this project forms part of the broader regeneration of the town centre if the pilot is successful and risks appropriately mitigated.  </w:t>
      </w:r>
    </w:p>
    <w:p w14:paraId="56C5CC80" w14:textId="77777777" w:rsidR="00DA2AA3" w:rsidRDefault="00654369" w:rsidP="00DA2AA3">
      <w:pPr>
        <w:pStyle w:val="ListParagraph"/>
        <w:numPr>
          <w:ilvl w:val="0"/>
          <w:numId w:val="6"/>
        </w:numPr>
        <w:ind w:left="567" w:hanging="567"/>
      </w:pPr>
      <w:r>
        <w:t>To a</w:t>
      </w:r>
      <w:r w:rsidR="00DA2AA3">
        <w:t xml:space="preserve">ct as a catalyst </w:t>
      </w:r>
      <w:r w:rsidR="008210D1">
        <w:t xml:space="preserve">for </w:t>
      </w:r>
      <w:r w:rsidR="00DA2AA3">
        <w:t xml:space="preserve">regeneration and support for </w:t>
      </w:r>
      <w:r>
        <w:t xml:space="preserve">town centre </w:t>
      </w:r>
      <w:r w:rsidR="00DA2AA3">
        <w:t>economic recovery</w:t>
      </w:r>
    </w:p>
    <w:p w14:paraId="7D4337D1" w14:textId="77777777" w:rsidR="00654369" w:rsidRDefault="00DA2AA3" w:rsidP="00DA2AA3">
      <w:pPr>
        <w:pStyle w:val="ListParagraph"/>
        <w:numPr>
          <w:ilvl w:val="0"/>
          <w:numId w:val="6"/>
        </w:numPr>
        <w:ind w:left="567" w:hanging="567"/>
      </w:pPr>
      <w:r>
        <w:t xml:space="preserve">Ensure a </w:t>
      </w:r>
      <w:r w:rsidR="00654369">
        <w:t>sustainable business model can be created that limits the financial costs of set up and understands and has a response to the barriers to bringing forward vacant units</w:t>
      </w:r>
    </w:p>
    <w:p w14:paraId="16C14DA8" w14:textId="77777777" w:rsidR="00DA2AA3" w:rsidRDefault="00654369" w:rsidP="00DA2AA3">
      <w:pPr>
        <w:pStyle w:val="ListParagraph"/>
        <w:numPr>
          <w:ilvl w:val="0"/>
          <w:numId w:val="6"/>
        </w:numPr>
        <w:ind w:left="567" w:hanging="567"/>
      </w:pPr>
      <w:r>
        <w:t>Collaboration with landlords and owners to fully understands the  issues and challenges of bringing temporary uses to vacant units</w:t>
      </w:r>
    </w:p>
    <w:p w14:paraId="10CCDBE8" w14:textId="77777777" w:rsidR="00DA2AA3" w:rsidRDefault="00654369" w:rsidP="00DA2AA3">
      <w:pPr>
        <w:pStyle w:val="ListParagraph"/>
        <w:numPr>
          <w:ilvl w:val="0"/>
          <w:numId w:val="6"/>
        </w:numPr>
        <w:ind w:left="567" w:hanging="567"/>
      </w:pPr>
      <w:r>
        <w:t>Brings forward an</w:t>
      </w:r>
      <w:r w:rsidR="00DA2AA3">
        <w:t xml:space="preserve"> underutilised </w:t>
      </w:r>
      <w:r>
        <w:t>asset</w:t>
      </w:r>
    </w:p>
    <w:p w14:paraId="1E1D1DC3" w14:textId="77777777" w:rsidR="00DA2AA3" w:rsidRPr="0042590F" w:rsidRDefault="00654369" w:rsidP="00DA2AA3">
      <w:pPr>
        <w:pStyle w:val="ListParagraph"/>
        <w:numPr>
          <w:ilvl w:val="0"/>
          <w:numId w:val="6"/>
        </w:numPr>
        <w:ind w:left="567" w:hanging="567"/>
      </w:pPr>
      <w:r>
        <w:t>Stimulates footfall and maximises dwell time for the end users</w:t>
      </w:r>
    </w:p>
    <w:p w14:paraId="434880E2" w14:textId="2BC08828" w:rsidR="0082691D" w:rsidRPr="001070A8" w:rsidRDefault="00DA2AA3" w:rsidP="00DA2AA3">
      <w:r>
        <w:t>The objective</w:t>
      </w:r>
      <w:r w:rsidR="00654369">
        <w:t>s</w:t>
      </w:r>
      <w:r>
        <w:t xml:space="preserve"> of this project </w:t>
      </w:r>
      <w:r w:rsidR="00AD6B7C">
        <w:t>are</w:t>
      </w:r>
      <w:r>
        <w:t xml:space="preserve"> aligned with the</w:t>
      </w:r>
      <w:r w:rsidR="008178D5">
        <w:t xml:space="preserve"> Cheltenham Place Vision </w:t>
      </w:r>
      <w:hyperlink r:id="rId9" w:history="1">
        <w:r w:rsidR="008178D5" w:rsidRPr="00EC6337">
          <w:rPr>
            <w:rStyle w:val="Hyperlink"/>
          </w:rPr>
          <w:t>https://www.cheltenham.gov.uk/downloads/file/6343/cheltenham_place_vision</w:t>
        </w:r>
      </w:hyperlink>
      <w:r w:rsidR="008178D5">
        <w:t xml:space="preserve"> </w:t>
      </w:r>
      <w:r>
        <w:t xml:space="preserve"> </w:t>
      </w:r>
      <w:r w:rsidR="00AD6B7C">
        <w:t>Cheltenham</w:t>
      </w:r>
      <w:r w:rsidR="00654369">
        <w:t xml:space="preserve"> Economic Recovery </w:t>
      </w:r>
      <w:r w:rsidR="00AD6B7C">
        <w:t>Strategy</w:t>
      </w:r>
      <w:r w:rsidR="008178D5">
        <w:t xml:space="preserve"> </w:t>
      </w:r>
      <w:hyperlink r:id="rId10" w:history="1">
        <w:r w:rsidR="008178D5" w:rsidRPr="00EC6337">
          <w:rPr>
            <w:rStyle w:val="Hyperlink"/>
          </w:rPr>
          <w:t>https://www.cheltenham.gov.uk/recovery-strategy</w:t>
        </w:r>
      </w:hyperlink>
      <w:r w:rsidR="008178D5">
        <w:t xml:space="preserve"> </w:t>
      </w:r>
      <w:r w:rsidR="00211A8B">
        <w:t>,</w:t>
      </w:r>
      <w:r w:rsidR="00654369">
        <w:t>Cheltenham Economic Recovery Task Force Business Plan</w:t>
      </w:r>
      <w:r w:rsidR="008178D5">
        <w:t xml:space="preserve"> </w:t>
      </w:r>
      <w:r w:rsidR="008178D5" w:rsidRPr="008178D5">
        <w:rPr>
          <w:highlight w:val="yellow"/>
        </w:rPr>
        <w:t xml:space="preserve">xx to insert when link </w:t>
      </w:r>
      <w:proofErr w:type="spellStart"/>
      <w:r w:rsidR="008178D5" w:rsidRPr="008178D5">
        <w:rPr>
          <w:highlight w:val="yellow"/>
        </w:rPr>
        <w:t>livexx</w:t>
      </w:r>
      <w:proofErr w:type="spellEnd"/>
      <w:r w:rsidR="00211A8B">
        <w:t xml:space="preserve"> , </w:t>
      </w:r>
      <w:proofErr w:type="spellStart"/>
      <w:r w:rsidR="00211A8B" w:rsidRPr="00211A8B">
        <w:t>GFirst</w:t>
      </w:r>
      <w:proofErr w:type="spellEnd"/>
      <w:r w:rsidR="00211A8B" w:rsidRPr="00211A8B">
        <w:t xml:space="preserve"> LEP’s Local Industrial Strategy </w:t>
      </w:r>
      <w:hyperlink r:id="rId11" w:history="1">
        <w:r w:rsidR="00211A8B" w:rsidRPr="00EC6337">
          <w:rPr>
            <w:rStyle w:val="Hyperlink"/>
          </w:rPr>
          <w:t>https://www.gfirstlep.com/industrial-strategy/</w:t>
        </w:r>
      </w:hyperlink>
      <w:r w:rsidR="001070A8">
        <w:t xml:space="preserve">, and </w:t>
      </w:r>
      <w:r w:rsidR="0082691D" w:rsidRPr="001070A8">
        <w:t xml:space="preserve">support the early consultation work done by Cheltenham Culture Board in drafting </w:t>
      </w:r>
      <w:r w:rsidR="003F02ED" w:rsidRPr="001070A8">
        <w:t xml:space="preserve">the </w:t>
      </w:r>
      <w:r w:rsidR="0082691D" w:rsidRPr="001070A8">
        <w:t>Cheltenham Cultural Strategy.</w:t>
      </w:r>
    </w:p>
    <w:p w14:paraId="7BCB11A0" w14:textId="77777777" w:rsidR="00211A8B" w:rsidRDefault="00211A8B" w:rsidP="00DA2AA3">
      <w:r w:rsidRPr="00211A8B">
        <w:t>With a commitment to working towards a carbon neutral town by 2030, Counter Culture offers the opportunity to build the climate change conversation into wider activities, to promote the town’s core vision and strategy, enhance the experience of people in the town and enable an ongoing engagement on the priorities for leadership that will impact on all our lives.</w:t>
      </w:r>
    </w:p>
    <w:p w14:paraId="4232F25D" w14:textId="77777777" w:rsidR="001070A8" w:rsidRDefault="001070A8">
      <w:pPr>
        <w:rPr>
          <w:b/>
        </w:rPr>
      </w:pPr>
    </w:p>
    <w:p w14:paraId="38701BA4" w14:textId="77777777" w:rsidR="00847A2F" w:rsidRDefault="00847A2F">
      <w:pPr>
        <w:rPr>
          <w:b/>
        </w:rPr>
      </w:pPr>
      <w:r w:rsidRPr="00733020">
        <w:rPr>
          <w:b/>
        </w:rPr>
        <w:lastRenderedPageBreak/>
        <w:t>In Scope</w:t>
      </w:r>
    </w:p>
    <w:p w14:paraId="3FE12770" w14:textId="77777777" w:rsidR="0084151E" w:rsidRDefault="0084151E" w:rsidP="008178D5">
      <w:r>
        <w:t xml:space="preserve">Vacant properties </w:t>
      </w:r>
      <w:r w:rsidR="00211A8B">
        <w:t xml:space="preserve">- those </w:t>
      </w:r>
      <w:r>
        <w:t xml:space="preserve">within the first 3 months of their </w:t>
      </w:r>
      <w:r w:rsidR="00211A8B">
        <w:t>vacant</w:t>
      </w:r>
      <w:r>
        <w:t xml:space="preserve"> (thereby wholly exempt from business rates)</w:t>
      </w:r>
    </w:p>
    <w:p w14:paraId="3BB2CAC1" w14:textId="77777777" w:rsidR="0084151E" w:rsidRDefault="0084151E" w:rsidP="008178D5">
      <w:r>
        <w:t>Vacant listed buildings which are exempt from business rates until they are occupied (lobbying taking place on continued relief for temporary occupation)</w:t>
      </w:r>
    </w:p>
    <w:p w14:paraId="55192A80" w14:textId="77777777" w:rsidR="0084151E" w:rsidRDefault="0084151E" w:rsidP="008178D5">
      <w:r>
        <w:t>Taking account of priorities, the</w:t>
      </w:r>
      <w:r w:rsidR="00211A8B">
        <w:t xml:space="preserve"> following sectors are in scope</w:t>
      </w:r>
    </w:p>
    <w:p w14:paraId="418048EA" w14:textId="77777777" w:rsidR="0084151E" w:rsidRDefault="00211A8B" w:rsidP="00FF3F21">
      <w:pPr>
        <w:pStyle w:val="ListParagraph"/>
        <w:numPr>
          <w:ilvl w:val="0"/>
          <w:numId w:val="10"/>
        </w:numPr>
        <w:ind w:hanging="720"/>
      </w:pPr>
      <w:r>
        <w:t xml:space="preserve">Cyber </w:t>
      </w:r>
    </w:p>
    <w:p w14:paraId="717A1FBB" w14:textId="77777777" w:rsidR="0084151E" w:rsidRDefault="0084151E" w:rsidP="00FF3F21">
      <w:pPr>
        <w:pStyle w:val="ListParagraph"/>
        <w:numPr>
          <w:ilvl w:val="0"/>
          <w:numId w:val="10"/>
        </w:numPr>
        <w:ind w:hanging="720"/>
      </w:pPr>
      <w:r>
        <w:t xml:space="preserve">Digital </w:t>
      </w:r>
    </w:p>
    <w:p w14:paraId="75204A42" w14:textId="77777777" w:rsidR="0084151E" w:rsidRDefault="0084151E" w:rsidP="00FF3F21">
      <w:pPr>
        <w:pStyle w:val="ListParagraph"/>
        <w:numPr>
          <w:ilvl w:val="0"/>
          <w:numId w:val="10"/>
        </w:numPr>
        <w:ind w:hanging="720"/>
      </w:pPr>
      <w:r>
        <w:t>Sustainability</w:t>
      </w:r>
      <w:r w:rsidR="00462F9B">
        <w:t>/environmental</w:t>
      </w:r>
      <w:r>
        <w:t xml:space="preserve"> </w:t>
      </w:r>
    </w:p>
    <w:p w14:paraId="72CDB398" w14:textId="77777777" w:rsidR="0084151E" w:rsidRDefault="0084151E" w:rsidP="00FF3F21">
      <w:pPr>
        <w:pStyle w:val="ListParagraph"/>
        <w:numPr>
          <w:ilvl w:val="0"/>
          <w:numId w:val="10"/>
        </w:numPr>
        <w:ind w:hanging="720"/>
      </w:pPr>
      <w:r>
        <w:t xml:space="preserve">Culture </w:t>
      </w:r>
    </w:p>
    <w:p w14:paraId="586FC488" w14:textId="77777777" w:rsidR="00211A8B" w:rsidRDefault="00211A8B" w:rsidP="00FF3F21">
      <w:pPr>
        <w:pStyle w:val="ListParagraph"/>
        <w:numPr>
          <w:ilvl w:val="0"/>
          <w:numId w:val="10"/>
        </w:numPr>
        <w:ind w:hanging="720"/>
      </w:pPr>
      <w:r>
        <w:t>Retail</w:t>
      </w:r>
    </w:p>
    <w:p w14:paraId="52D3680D" w14:textId="77777777" w:rsidR="00211A8B" w:rsidRDefault="00211A8B" w:rsidP="00FF3F21">
      <w:pPr>
        <w:pStyle w:val="ListParagraph"/>
        <w:numPr>
          <w:ilvl w:val="0"/>
          <w:numId w:val="10"/>
        </w:numPr>
        <w:ind w:hanging="720"/>
      </w:pPr>
      <w:r>
        <w:t>Food &amp; Beverage</w:t>
      </w:r>
    </w:p>
    <w:p w14:paraId="134BA1FA" w14:textId="31CAF471" w:rsidR="0084151E" w:rsidRDefault="0084151E" w:rsidP="00FF3F21">
      <w:pPr>
        <w:pStyle w:val="ListParagraph"/>
        <w:numPr>
          <w:ilvl w:val="0"/>
          <w:numId w:val="10"/>
        </w:numPr>
        <w:ind w:hanging="720"/>
      </w:pPr>
      <w:r>
        <w:t>Community sector</w:t>
      </w:r>
    </w:p>
    <w:p w14:paraId="52106A44" w14:textId="59C825A5" w:rsidR="0082691D" w:rsidRPr="001070A8" w:rsidRDefault="0082691D" w:rsidP="0082691D">
      <w:pPr>
        <w:rPr>
          <w:b/>
        </w:rPr>
      </w:pPr>
      <w:r w:rsidRPr="001070A8">
        <w:rPr>
          <w:b/>
        </w:rPr>
        <w:t>Project Outline</w:t>
      </w:r>
    </w:p>
    <w:p w14:paraId="7B9CCF7A" w14:textId="1A8B2F1F" w:rsidR="004D53A4" w:rsidRPr="001070A8" w:rsidRDefault="004D53A4" w:rsidP="0082691D">
      <w:r w:rsidRPr="001070A8">
        <w:t>The recommendation is the pilot runs for a minimum of 6 weeks allowing for</w:t>
      </w:r>
      <w:r w:rsidR="00064DBB" w:rsidRPr="001070A8">
        <w:t xml:space="preserve"> the</w:t>
      </w:r>
      <w:r w:rsidRPr="001070A8">
        <w:t>;</w:t>
      </w:r>
    </w:p>
    <w:p w14:paraId="55CE1875" w14:textId="77777777" w:rsidR="001070A8" w:rsidRPr="001070A8" w:rsidRDefault="00C43155" w:rsidP="00FF3F21">
      <w:pPr>
        <w:pStyle w:val="ListParagraph"/>
        <w:numPr>
          <w:ilvl w:val="0"/>
          <w:numId w:val="14"/>
        </w:numPr>
        <w:ind w:hanging="720"/>
      </w:pPr>
      <w:r w:rsidRPr="001070A8">
        <w:t>Project to gather momentum from a marketing and footfall perspective</w:t>
      </w:r>
    </w:p>
    <w:p w14:paraId="4ADA147D" w14:textId="77777777" w:rsidR="001070A8" w:rsidRPr="001070A8" w:rsidRDefault="00D41B1D" w:rsidP="00FF3F21">
      <w:pPr>
        <w:pStyle w:val="ListParagraph"/>
        <w:numPr>
          <w:ilvl w:val="0"/>
          <w:numId w:val="14"/>
        </w:numPr>
        <w:ind w:hanging="720"/>
      </w:pPr>
      <w:r w:rsidRPr="001070A8">
        <w:t xml:space="preserve">Pilot to demonstrate a range activities Counter Culture could host </w:t>
      </w:r>
    </w:p>
    <w:p w14:paraId="1BD45632" w14:textId="2B50D235" w:rsidR="001B59D2" w:rsidRPr="001070A8" w:rsidRDefault="001B59D2" w:rsidP="00FF3F21">
      <w:pPr>
        <w:pStyle w:val="ListParagraph"/>
        <w:numPr>
          <w:ilvl w:val="0"/>
          <w:numId w:val="14"/>
        </w:numPr>
        <w:ind w:hanging="720"/>
      </w:pPr>
      <w:r w:rsidRPr="001070A8">
        <w:t xml:space="preserve">Investment in </w:t>
      </w:r>
      <w:r w:rsidR="00366E14" w:rsidRPr="001070A8">
        <w:t>empty unit to be maximised</w:t>
      </w:r>
    </w:p>
    <w:p w14:paraId="34D0E937" w14:textId="6A8F4958" w:rsidR="001070A8" w:rsidRPr="001070A8" w:rsidRDefault="001070A8" w:rsidP="001070A8">
      <w:r w:rsidRPr="001070A8">
        <w:t xml:space="preserve">Engagement is currently underway with a potential landlord.  This could provide a unit that allows us to maximise the potential to test the project outcomes and would include 3 distinct area of activity within the activated vacant retail unit.  These being; </w:t>
      </w:r>
    </w:p>
    <w:p w14:paraId="719BC310" w14:textId="77777777" w:rsidR="001070A8" w:rsidRPr="001070A8" w:rsidRDefault="00E734DF" w:rsidP="001070A8">
      <w:pPr>
        <w:pStyle w:val="ListParagraph"/>
        <w:numPr>
          <w:ilvl w:val="0"/>
          <w:numId w:val="15"/>
        </w:numPr>
        <w:ind w:hanging="720"/>
      </w:pPr>
      <w:r w:rsidRPr="00FF3F21">
        <w:rPr>
          <w:b/>
        </w:rPr>
        <w:t>STUDIO</w:t>
      </w:r>
      <w:r w:rsidR="001070A8" w:rsidRPr="00FF3F21">
        <w:rPr>
          <w:b/>
        </w:rPr>
        <w:t>:</w:t>
      </w:r>
      <w:r w:rsidR="001070A8" w:rsidRPr="001070A8">
        <w:t xml:space="preserve"> </w:t>
      </w:r>
      <w:r w:rsidR="0082691D" w:rsidRPr="001070A8">
        <w:t xml:space="preserve">Gallery / Performance / Workshops / Events / Public Engagement </w:t>
      </w:r>
      <w:r w:rsidRPr="001070A8">
        <w:t xml:space="preserve">Projects </w:t>
      </w:r>
      <w:r w:rsidR="0082691D" w:rsidRPr="001070A8">
        <w:t>/ Multifunctional</w:t>
      </w:r>
      <w:r w:rsidRPr="001070A8">
        <w:t xml:space="preserve"> / Launches / </w:t>
      </w:r>
    </w:p>
    <w:p w14:paraId="0F6DCC98" w14:textId="7F9722A3" w:rsidR="00E734DF" w:rsidRPr="001070A8" w:rsidRDefault="00E734DF" w:rsidP="00FF3F21">
      <w:pPr>
        <w:pStyle w:val="ListParagraph"/>
        <w:numPr>
          <w:ilvl w:val="0"/>
          <w:numId w:val="16"/>
        </w:numPr>
        <w:ind w:left="1276" w:hanging="567"/>
      </w:pPr>
      <w:r w:rsidRPr="001070A8">
        <w:t xml:space="preserve">Keeps the pop up fresh with a variety of activity and using the SOOK technology this can be on a high rotation. </w:t>
      </w:r>
    </w:p>
    <w:p w14:paraId="6D274A08" w14:textId="567267CC" w:rsidR="00E734DF" w:rsidRPr="001070A8" w:rsidRDefault="00E734DF" w:rsidP="00FF3F21">
      <w:pPr>
        <w:pStyle w:val="ListParagraph"/>
        <w:numPr>
          <w:ilvl w:val="0"/>
          <w:numId w:val="16"/>
        </w:numPr>
        <w:ind w:left="1276" w:hanging="567"/>
      </w:pPr>
      <w:r w:rsidRPr="001070A8">
        <w:t xml:space="preserve">Provides income opportunities </w:t>
      </w:r>
    </w:p>
    <w:p w14:paraId="7E04D512" w14:textId="6247B3CF" w:rsidR="00E734DF" w:rsidRPr="001070A8" w:rsidRDefault="00E734DF" w:rsidP="00FF3F21">
      <w:pPr>
        <w:pStyle w:val="ListParagraph"/>
        <w:numPr>
          <w:ilvl w:val="0"/>
          <w:numId w:val="16"/>
        </w:numPr>
        <w:ind w:left="1276" w:hanging="567"/>
      </w:pPr>
      <w:r w:rsidRPr="001070A8">
        <w:t>Allows for targeting different audiences daytime / evening / open or private</w:t>
      </w:r>
    </w:p>
    <w:p w14:paraId="1CF45C28" w14:textId="12A1BB40" w:rsidR="0082691D" w:rsidRPr="001070A8" w:rsidRDefault="0082691D" w:rsidP="00FF3F21">
      <w:pPr>
        <w:pStyle w:val="ListParagraph"/>
        <w:numPr>
          <w:ilvl w:val="0"/>
          <w:numId w:val="15"/>
        </w:numPr>
        <w:ind w:hanging="720"/>
      </w:pPr>
      <w:r w:rsidRPr="00FF3F21">
        <w:rPr>
          <w:b/>
        </w:rPr>
        <w:t>M</w:t>
      </w:r>
      <w:r w:rsidR="00CA6F08" w:rsidRPr="00FF3F21">
        <w:rPr>
          <w:b/>
        </w:rPr>
        <w:t>AKERSPACE</w:t>
      </w:r>
      <w:r w:rsidR="001070A8" w:rsidRPr="00FF3F21">
        <w:rPr>
          <w:b/>
        </w:rPr>
        <w:t>:</w:t>
      </w:r>
      <w:r w:rsidR="001070A8" w:rsidRPr="001070A8">
        <w:t xml:space="preserve"> A</w:t>
      </w:r>
      <w:r w:rsidR="0037654C" w:rsidRPr="001070A8">
        <w:t>rtists in residency</w:t>
      </w:r>
      <w:r w:rsidR="00CA6F08" w:rsidRPr="001070A8">
        <w:t xml:space="preserve"> /</w:t>
      </w:r>
      <w:r w:rsidR="0037654C" w:rsidRPr="001070A8">
        <w:t xml:space="preserve"> culminate in a showcase piece of work telling the story of community partners </w:t>
      </w:r>
      <w:r w:rsidR="00CA6F08" w:rsidRPr="001070A8">
        <w:t xml:space="preserve">/ public looking into Makerspace / </w:t>
      </w:r>
    </w:p>
    <w:p w14:paraId="4F7A8C57" w14:textId="1DB7F95D" w:rsidR="0082691D" w:rsidRPr="001070A8" w:rsidRDefault="001070A8" w:rsidP="00FF3F21">
      <w:pPr>
        <w:pStyle w:val="ListParagraph"/>
        <w:numPr>
          <w:ilvl w:val="0"/>
          <w:numId w:val="15"/>
        </w:numPr>
        <w:ind w:hanging="720"/>
      </w:pPr>
      <w:r w:rsidRPr="00FF3F21">
        <w:rPr>
          <w:b/>
        </w:rPr>
        <w:t>COMMERCIAL:</w:t>
      </w:r>
      <w:r w:rsidRPr="001070A8">
        <w:t xml:space="preserve"> Retail and food and beverage that is c</w:t>
      </w:r>
      <w:r w:rsidR="00CA6F08" w:rsidRPr="001070A8">
        <w:t xml:space="preserve">omplimentary retail offering to Makerspace </w:t>
      </w:r>
      <w:proofErr w:type="spellStart"/>
      <w:r w:rsidR="00CA6F08" w:rsidRPr="001070A8">
        <w:t>ie</w:t>
      </w:r>
      <w:proofErr w:type="spellEnd"/>
      <w:r w:rsidR="00CA6F08" w:rsidRPr="001070A8">
        <w:t xml:space="preserve"> prints / Independent locally sourced food and drink in street food fashion </w:t>
      </w:r>
    </w:p>
    <w:p w14:paraId="57FF0EB3" w14:textId="4F6BE059" w:rsidR="0082691D" w:rsidRPr="001070A8" w:rsidRDefault="0082691D" w:rsidP="0082691D">
      <w:pPr>
        <w:rPr>
          <w:b/>
        </w:rPr>
      </w:pPr>
      <w:r w:rsidRPr="001070A8">
        <w:rPr>
          <w:b/>
        </w:rPr>
        <w:t>Project Partners</w:t>
      </w:r>
    </w:p>
    <w:p w14:paraId="314F4BDC" w14:textId="593D3CFE" w:rsidR="007A6C26" w:rsidRPr="001070A8" w:rsidRDefault="007A6C26" w:rsidP="0082691D">
      <w:r w:rsidRPr="001070A8">
        <w:t xml:space="preserve">Having identified the key areas to deliver success </w:t>
      </w:r>
      <w:r w:rsidR="001070A8" w:rsidRPr="001070A8">
        <w:t xml:space="preserve">Counter Culture </w:t>
      </w:r>
      <w:r w:rsidRPr="001070A8">
        <w:t xml:space="preserve">would work with several project partners each who bring expertise and/or help remove barriers and add value to the project. </w:t>
      </w:r>
    </w:p>
    <w:p w14:paraId="66875F42" w14:textId="77777777" w:rsidR="00FF3F21" w:rsidRDefault="00FF3F21">
      <w:r>
        <w:br w:type="page"/>
      </w:r>
    </w:p>
    <w:p w14:paraId="670A139B" w14:textId="295CC1E6" w:rsidR="005A3027" w:rsidRPr="00B05C46" w:rsidRDefault="005A3027" w:rsidP="0082691D">
      <w:r w:rsidRPr="00B05C46">
        <w:lastRenderedPageBreak/>
        <w:t>Suggested partners include:</w:t>
      </w:r>
    </w:p>
    <w:p w14:paraId="25763D43" w14:textId="7C2DF23D" w:rsidR="00FF3F21" w:rsidRPr="00FF3F21" w:rsidRDefault="00FF3F21" w:rsidP="0082691D">
      <w:pPr>
        <w:rPr>
          <w:b/>
        </w:rPr>
      </w:pPr>
      <w:r w:rsidRPr="00FF3F21">
        <w:rPr>
          <w:b/>
        </w:rPr>
        <w:t>Landlord</w:t>
      </w:r>
      <w:r>
        <w:rPr>
          <w:b/>
        </w:rPr>
        <w:t xml:space="preserve">/Agent – </w:t>
      </w:r>
      <w:r>
        <w:t>A</w:t>
      </w:r>
      <w:r w:rsidRPr="00FF3F21">
        <w:t>ccess to vacant unit</w:t>
      </w:r>
      <w:r>
        <w:t xml:space="preserve">. </w:t>
      </w:r>
      <w:proofErr w:type="gramStart"/>
      <w:r w:rsidRPr="00FF3F21">
        <w:t>live</w:t>
      </w:r>
      <w:proofErr w:type="gramEnd"/>
      <w:r w:rsidRPr="00FF3F21">
        <w:t xml:space="preserve"> discussions currently taki</w:t>
      </w:r>
      <w:r>
        <w:t xml:space="preserve">ng place.  The partner landlord/agent </w:t>
      </w:r>
      <w:r w:rsidRPr="00FF3F21">
        <w:t xml:space="preserve">would be engaged on all elements needed to ‘open up the building’. </w:t>
      </w:r>
      <w:proofErr w:type="gramStart"/>
      <w:r w:rsidRPr="00FF3F21">
        <w:t>Compliance on H&amp;S, rates and an overall willingness to provide the space at no cost to support this as a pilot project that is testing the principles.</w:t>
      </w:r>
      <w:proofErr w:type="gramEnd"/>
    </w:p>
    <w:p w14:paraId="11B115C8" w14:textId="725E447C" w:rsidR="001B5B97" w:rsidRPr="00B05C46" w:rsidRDefault="0063734C" w:rsidP="0082691D">
      <w:r w:rsidRPr="00B05C46">
        <w:rPr>
          <w:b/>
        </w:rPr>
        <w:t>Cheltenham Borough Council</w:t>
      </w:r>
      <w:r w:rsidRPr="00B05C46">
        <w:t xml:space="preserve"> – Key role in enabling the project </w:t>
      </w:r>
    </w:p>
    <w:p w14:paraId="26063D3E" w14:textId="2FA25ECA" w:rsidR="001B5B97" w:rsidRPr="00B05C46" w:rsidRDefault="001B5B97" w:rsidP="0082691D">
      <w:r w:rsidRPr="00B05C46">
        <w:rPr>
          <w:b/>
        </w:rPr>
        <w:t>Business &amp; Digital</w:t>
      </w:r>
      <w:r w:rsidR="0063734C" w:rsidRPr="00B05C46">
        <w:t xml:space="preserve"> – Organisations </w:t>
      </w:r>
      <w:r w:rsidR="005A3027" w:rsidRPr="00B05C46">
        <w:t xml:space="preserve">e.g. </w:t>
      </w:r>
      <w:r w:rsidR="0063734C" w:rsidRPr="00B05C46">
        <w:t xml:space="preserve"> Sook who could provide the supporting digital infrastructure to enable a multifunctional space. </w:t>
      </w:r>
    </w:p>
    <w:p w14:paraId="4BC54E9A" w14:textId="218A28CB" w:rsidR="001B5B97" w:rsidRPr="00B05C46" w:rsidRDefault="001B5B97" w:rsidP="0082691D">
      <w:r w:rsidRPr="00B05C46">
        <w:rPr>
          <w:b/>
        </w:rPr>
        <w:t>Marketing</w:t>
      </w:r>
      <w:r w:rsidR="0063734C" w:rsidRPr="00B05C46">
        <w:t xml:space="preserve"> </w:t>
      </w:r>
      <w:r w:rsidR="005A3027" w:rsidRPr="00B05C46">
        <w:rPr>
          <w:b/>
        </w:rPr>
        <w:t>and communications</w:t>
      </w:r>
      <w:r w:rsidR="0063734C" w:rsidRPr="00B05C46">
        <w:t xml:space="preserve">– Marketing Cheltenham to be </w:t>
      </w:r>
      <w:r w:rsidR="005A3027" w:rsidRPr="00B05C46">
        <w:t>lead and agree marketing and communications plan.  Engagement with agents</w:t>
      </w:r>
    </w:p>
    <w:p w14:paraId="53A5F6F2" w14:textId="7C17C763" w:rsidR="001B5B97" w:rsidRPr="00B05C46" w:rsidRDefault="001B5B97" w:rsidP="0082691D">
      <w:r w:rsidRPr="00B05C46">
        <w:rPr>
          <w:b/>
        </w:rPr>
        <w:t>Sustainability</w:t>
      </w:r>
      <w:r w:rsidR="0037654C" w:rsidRPr="00B05C46">
        <w:t xml:space="preserve"> – establish a partner to underpin the project. </w:t>
      </w:r>
    </w:p>
    <w:p w14:paraId="6AF4C039" w14:textId="408FA41F" w:rsidR="0082691D" w:rsidRPr="00B05C46" w:rsidRDefault="0082691D" w:rsidP="0082691D">
      <w:r w:rsidRPr="00B05C46">
        <w:rPr>
          <w:b/>
        </w:rPr>
        <w:t>Pop Up</w:t>
      </w:r>
      <w:r w:rsidR="0037654C" w:rsidRPr="00B05C46">
        <w:rPr>
          <w:b/>
        </w:rPr>
        <w:t>/Content</w:t>
      </w:r>
      <w:r w:rsidRPr="00B05C46">
        <w:rPr>
          <w:b/>
        </w:rPr>
        <w:t xml:space="preserve"> Partners</w:t>
      </w:r>
      <w:r w:rsidR="005A3027" w:rsidRPr="00B05C46">
        <w:t xml:space="preserve"> – To be agreed</w:t>
      </w:r>
    </w:p>
    <w:p w14:paraId="5E3CDEBE" w14:textId="01EC52D3" w:rsidR="0037654C" w:rsidRPr="00B05C46" w:rsidRDefault="0037654C" w:rsidP="0082691D">
      <w:r w:rsidRPr="00B05C46">
        <w:rPr>
          <w:b/>
        </w:rPr>
        <w:t>Cultural Rep</w:t>
      </w:r>
      <w:r w:rsidRPr="00B05C46">
        <w:t xml:space="preserve"> – Cheltenham Festivals</w:t>
      </w:r>
    </w:p>
    <w:p w14:paraId="62322890" w14:textId="4DD5D640" w:rsidR="0037654C" w:rsidRPr="00B05C46" w:rsidRDefault="0037654C" w:rsidP="0082691D">
      <w:r w:rsidRPr="00B05C46">
        <w:rPr>
          <w:b/>
        </w:rPr>
        <w:t>Community Rep</w:t>
      </w:r>
      <w:r w:rsidRPr="00B05C46">
        <w:t xml:space="preserve"> – Gloucestershire Association of Volunteer and Community Groups</w:t>
      </w:r>
    </w:p>
    <w:p w14:paraId="1F892CB2" w14:textId="584FD9E8" w:rsidR="0037654C" w:rsidRPr="00B05C46" w:rsidRDefault="0037654C" w:rsidP="0082691D">
      <w:r w:rsidRPr="00B05C46">
        <w:rPr>
          <w:b/>
        </w:rPr>
        <w:t>Business Rep</w:t>
      </w:r>
      <w:r w:rsidRPr="00B05C46">
        <w:t xml:space="preserve"> – Growth Hub</w:t>
      </w:r>
    </w:p>
    <w:p w14:paraId="0A678C86" w14:textId="18F16535" w:rsidR="0037654C" w:rsidRPr="00B05C46" w:rsidRDefault="0037654C" w:rsidP="0082691D">
      <w:r w:rsidRPr="00B05C46">
        <w:rPr>
          <w:b/>
        </w:rPr>
        <w:t>Digital Rep</w:t>
      </w:r>
      <w:r w:rsidRPr="00B05C46">
        <w:t xml:space="preserve"> </w:t>
      </w:r>
      <w:r w:rsidR="00636A8E" w:rsidRPr="00B05C46">
        <w:t>– To be confirmed</w:t>
      </w:r>
    </w:p>
    <w:p w14:paraId="5791B2D5" w14:textId="77777777" w:rsidR="00847A2F" w:rsidRPr="00B05C46" w:rsidRDefault="00847A2F" w:rsidP="00B74ED5">
      <w:pPr>
        <w:tabs>
          <w:tab w:val="left" w:pos="3180"/>
        </w:tabs>
        <w:rPr>
          <w:b/>
        </w:rPr>
      </w:pPr>
      <w:r w:rsidRPr="00B05C46">
        <w:rPr>
          <w:b/>
        </w:rPr>
        <w:t>Deliverables/Outcomes</w:t>
      </w:r>
    </w:p>
    <w:p w14:paraId="0B868C5E" w14:textId="77777777" w:rsidR="001C4CEF" w:rsidRPr="00B05C46" w:rsidRDefault="001C4CEF" w:rsidP="00B74ED5">
      <w:pPr>
        <w:tabs>
          <w:tab w:val="left" w:pos="3180"/>
        </w:tabs>
      </w:pPr>
      <w:r w:rsidRPr="00B05C46">
        <w:t>To make the Counter Culture project viable in its earliest stages, by:</w:t>
      </w:r>
    </w:p>
    <w:p w14:paraId="43C3B6B5" w14:textId="77777777" w:rsidR="00462F9B" w:rsidRPr="00B05C46" w:rsidRDefault="001C4CEF" w:rsidP="001C4CEF">
      <w:pPr>
        <w:pStyle w:val="ListParagraph"/>
        <w:numPr>
          <w:ilvl w:val="0"/>
          <w:numId w:val="11"/>
        </w:numPr>
        <w:tabs>
          <w:tab w:val="left" w:pos="3180"/>
        </w:tabs>
      </w:pPr>
      <w:r w:rsidRPr="00B05C46">
        <w:t>Identifying a willing landlord.  The Promenade has been identified as one of these key areas.  Its premises, in the main benefit from Listed building business rates exemptions, so there is no incentive for the landlords to bring these into active use</w:t>
      </w:r>
    </w:p>
    <w:p w14:paraId="46451F4F" w14:textId="77777777" w:rsidR="001C4CEF" w:rsidRPr="00B05C46" w:rsidRDefault="001C4CEF" w:rsidP="001C4CEF">
      <w:pPr>
        <w:pStyle w:val="ListParagraph"/>
        <w:numPr>
          <w:ilvl w:val="0"/>
          <w:numId w:val="11"/>
        </w:numPr>
        <w:tabs>
          <w:tab w:val="left" w:pos="3180"/>
        </w:tabs>
      </w:pPr>
      <w:r w:rsidRPr="00B05C46">
        <w:t>Removing barriers to access to vacant units</w:t>
      </w:r>
    </w:p>
    <w:p w14:paraId="64CF0691" w14:textId="77777777" w:rsidR="001C4CEF" w:rsidRPr="00B05C46" w:rsidRDefault="001C4CEF" w:rsidP="001C4CEF">
      <w:pPr>
        <w:pStyle w:val="ListParagraph"/>
        <w:numPr>
          <w:ilvl w:val="0"/>
          <w:numId w:val="11"/>
        </w:numPr>
        <w:tabs>
          <w:tab w:val="left" w:pos="3180"/>
        </w:tabs>
      </w:pPr>
      <w:r w:rsidRPr="00B05C46">
        <w:t>Develop a sustainable business model that builds in a % revenue share from commercial partnerships with the objective of building up a counter culture fund for further roll out of the Counter Culture proposal</w:t>
      </w:r>
    </w:p>
    <w:p w14:paraId="753BE5F4" w14:textId="77777777" w:rsidR="001C4CEF" w:rsidRPr="00B05C46" w:rsidRDefault="001C4CEF" w:rsidP="001C4CEF">
      <w:pPr>
        <w:pStyle w:val="ListParagraph"/>
        <w:numPr>
          <w:ilvl w:val="0"/>
          <w:numId w:val="11"/>
        </w:numPr>
      </w:pPr>
      <w:r w:rsidRPr="00B05C46">
        <w:t>Identify partner(s) who will act as curator</w:t>
      </w:r>
    </w:p>
    <w:p w14:paraId="15F1B675" w14:textId="77777777" w:rsidR="001C4CEF" w:rsidRPr="00B05C46" w:rsidRDefault="001C4CEF" w:rsidP="001C4CEF">
      <w:pPr>
        <w:pStyle w:val="ListParagraph"/>
        <w:numPr>
          <w:ilvl w:val="0"/>
          <w:numId w:val="11"/>
        </w:numPr>
        <w:tabs>
          <w:tab w:val="left" w:pos="3180"/>
        </w:tabs>
      </w:pPr>
      <w:r w:rsidRPr="00B05C46">
        <w:t>Identify funding options including:</w:t>
      </w:r>
    </w:p>
    <w:p w14:paraId="74F160DF" w14:textId="77777777" w:rsidR="001C4CEF" w:rsidRPr="00B05C46" w:rsidRDefault="001C4CEF" w:rsidP="001C4CEF">
      <w:pPr>
        <w:pStyle w:val="ListParagraph"/>
        <w:numPr>
          <w:ilvl w:val="1"/>
          <w:numId w:val="11"/>
        </w:numPr>
        <w:tabs>
          <w:tab w:val="left" w:pos="3180"/>
        </w:tabs>
      </w:pPr>
      <w:r w:rsidRPr="00B05C46">
        <w:t>Covid-19 recovery based grants</w:t>
      </w:r>
    </w:p>
    <w:p w14:paraId="6B1E37F5" w14:textId="77777777" w:rsidR="001C4CEF" w:rsidRPr="00B05C46" w:rsidRDefault="001C4CEF" w:rsidP="001C4CEF">
      <w:pPr>
        <w:pStyle w:val="ListParagraph"/>
        <w:numPr>
          <w:ilvl w:val="1"/>
          <w:numId w:val="11"/>
        </w:numPr>
        <w:tabs>
          <w:tab w:val="left" w:pos="3180"/>
        </w:tabs>
      </w:pPr>
      <w:r w:rsidRPr="00B05C46">
        <w:t>Secure investment from key partners</w:t>
      </w:r>
    </w:p>
    <w:p w14:paraId="0155900B" w14:textId="77777777" w:rsidR="001C4CEF" w:rsidRDefault="001C4CEF" w:rsidP="001C4CEF">
      <w:pPr>
        <w:pStyle w:val="ListParagraph"/>
        <w:numPr>
          <w:ilvl w:val="1"/>
          <w:numId w:val="11"/>
        </w:numPr>
        <w:tabs>
          <w:tab w:val="left" w:pos="3180"/>
        </w:tabs>
      </w:pPr>
      <w:r w:rsidRPr="00B05C46">
        <w:t>Establish Counter Culture cro</w:t>
      </w:r>
      <w:r w:rsidR="00F51BC9" w:rsidRPr="00B05C46">
        <w:t>wd</w:t>
      </w:r>
      <w:r w:rsidRPr="00B05C46">
        <w:t>funding</w:t>
      </w:r>
    </w:p>
    <w:p w14:paraId="74A78BC9" w14:textId="7CDF0E20" w:rsidR="004F39E7" w:rsidRDefault="004F39E7" w:rsidP="004F39E7">
      <w:pPr>
        <w:tabs>
          <w:tab w:val="left" w:pos="3180"/>
        </w:tabs>
      </w:pPr>
      <w:r>
        <w:t>Key Milestones are:</w:t>
      </w:r>
    </w:p>
    <w:p w14:paraId="5B3E375F" w14:textId="142DE0EE" w:rsidR="004F39E7" w:rsidRPr="00B05C46" w:rsidRDefault="004F39E7" w:rsidP="004F39E7">
      <w:pPr>
        <w:tabs>
          <w:tab w:val="left" w:pos="3180"/>
        </w:tabs>
      </w:pPr>
      <w:r w:rsidRPr="004F39E7">
        <w:rPr>
          <w:highlight w:val="yellow"/>
        </w:rPr>
        <w:t>To add</w:t>
      </w:r>
    </w:p>
    <w:p w14:paraId="4A83A7F9" w14:textId="77777777" w:rsidR="00847A2F" w:rsidRPr="00B05C46" w:rsidRDefault="00847A2F">
      <w:pPr>
        <w:rPr>
          <w:b/>
        </w:rPr>
      </w:pPr>
      <w:r w:rsidRPr="00B05C46">
        <w:rPr>
          <w:b/>
        </w:rPr>
        <w:t>Benefits</w:t>
      </w:r>
    </w:p>
    <w:tbl>
      <w:tblPr>
        <w:tblStyle w:val="TableGrid"/>
        <w:tblW w:w="0" w:type="auto"/>
        <w:tblLook w:val="04A0" w:firstRow="1" w:lastRow="0" w:firstColumn="1" w:lastColumn="0" w:noHBand="0" w:noVBand="1"/>
      </w:tblPr>
      <w:tblGrid>
        <w:gridCol w:w="3080"/>
        <w:gridCol w:w="3081"/>
        <w:gridCol w:w="3081"/>
      </w:tblGrid>
      <w:tr w:rsidR="00B05C46" w:rsidRPr="00B05C46" w14:paraId="1625CF61" w14:textId="77777777" w:rsidTr="008178D5">
        <w:tc>
          <w:tcPr>
            <w:tcW w:w="3080" w:type="dxa"/>
          </w:tcPr>
          <w:p w14:paraId="37CFDB38" w14:textId="77777777" w:rsidR="008178D5" w:rsidRPr="00B05C46" w:rsidRDefault="008178D5">
            <w:pPr>
              <w:rPr>
                <w:b/>
              </w:rPr>
            </w:pPr>
            <w:r w:rsidRPr="00B05C46">
              <w:rPr>
                <w:b/>
              </w:rPr>
              <w:t>To the Town</w:t>
            </w:r>
          </w:p>
        </w:tc>
        <w:tc>
          <w:tcPr>
            <w:tcW w:w="3081" w:type="dxa"/>
          </w:tcPr>
          <w:p w14:paraId="3C19B787" w14:textId="77777777" w:rsidR="008178D5" w:rsidRPr="00B05C46" w:rsidRDefault="008178D5">
            <w:pPr>
              <w:rPr>
                <w:b/>
              </w:rPr>
            </w:pPr>
            <w:r w:rsidRPr="00B05C46">
              <w:rPr>
                <w:b/>
              </w:rPr>
              <w:t>To the landlord</w:t>
            </w:r>
          </w:p>
        </w:tc>
        <w:tc>
          <w:tcPr>
            <w:tcW w:w="3081" w:type="dxa"/>
          </w:tcPr>
          <w:p w14:paraId="41A29B1F" w14:textId="77777777" w:rsidR="008178D5" w:rsidRPr="00B05C46" w:rsidRDefault="008178D5">
            <w:pPr>
              <w:rPr>
                <w:b/>
              </w:rPr>
            </w:pPr>
            <w:r w:rsidRPr="00B05C46">
              <w:rPr>
                <w:b/>
              </w:rPr>
              <w:t>To the identified users</w:t>
            </w:r>
          </w:p>
        </w:tc>
      </w:tr>
      <w:tr w:rsidR="00B05C46" w:rsidRPr="00B05C46" w14:paraId="79269180" w14:textId="77777777" w:rsidTr="008178D5">
        <w:tc>
          <w:tcPr>
            <w:tcW w:w="3080" w:type="dxa"/>
          </w:tcPr>
          <w:p w14:paraId="43916AEB" w14:textId="77777777" w:rsidR="008178D5" w:rsidRPr="00B05C46" w:rsidRDefault="008178D5" w:rsidP="0084151E">
            <w:pPr>
              <w:pStyle w:val="ListParagraph"/>
              <w:numPr>
                <w:ilvl w:val="0"/>
                <w:numId w:val="8"/>
              </w:numPr>
            </w:pPr>
            <w:r w:rsidRPr="00B05C46">
              <w:t xml:space="preserve">Stimulating the local economy </w:t>
            </w:r>
          </w:p>
          <w:p w14:paraId="3CBF996E" w14:textId="77777777" w:rsidR="00211A8B" w:rsidRPr="00B05C46" w:rsidRDefault="00211A8B" w:rsidP="0084151E">
            <w:pPr>
              <w:pStyle w:val="ListParagraph"/>
              <w:numPr>
                <w:ilvl w:val="0"/>
                <w:numId w:val="8"/>
              </w:numPr>
            </w:pPr>
            <w:r w:rsidRPr="00B05C46">
              <w:t xml:space="preserve">Reinvigorate the town </w:t>
            </w:r>
            <w:r w:rsidRPr="00B05C46">
              <w:lastRenderedPageBreak/>
              <w:t>centre</w:t>
            </w:r>
          </w:p>
          <w:p w14:paraId="1D6DE58F" w14:textId="77777777" w:rsidR="00462F9B" w:rsidRPr="00B05C46" w:rsidRDefault="00462F9B" w:rsidP="00462F9B">
            <w:pPr>
              <w:pStyle w:val="ListParagraph"/>
              <w:numPr>
                <w:ilvl w:val="0"/>
                <w:numId w:val="8"/>
              </w:numPr>
            </w:pPr>
            <w:r w:rsidRPr="00B05C46">
              <w:t>Promote the climate change agenda</w:t>
            </w:r>
          </w:p>
          <w:p w14:paraId="1C0C5533" w14:textId="77777777" w:rsidR="00462F9B" w:rsidRPr="00B05C46" w:rsidRDefault="00462F9B" w:rsidP="00462F9B">
            <w:pPr>
              <w:pStyle w:val="ListParagraph"/>
              <w:numPr>
                <w:ilvl w:val="0"/>
                <w:numId w:val="8"/>
              </w:numPr>
            </w:pPr>
            <w:r w:rsidRPr="00B05C46">
              <w:t>Develop a platform where Tech Companies can work with Cultural Producers, further developing Cheltenham’s USP</w:t>
            </w:r>
          </w:p>
        </w:tc>
        <w:tc>
          <w:tcPr>
            <w:tcW w:w="3081" w:type="dxa"/>
          </w:tcPr>
          <w:p w14:paraId="202D4C7D" w14:textId="77777777" w:rsidR="008178D5" w:rsidRPr="00B05C46" w:rsidRDefault="00B74ED5" w:rsidP="0084151E">
            <w:pPr>
              <w:pStyle w:val="ListParagraph"/>
              <w:numPr>
                <w:ilvl w:val="0"/>
                <w:numId w:val="8"/>
              </w:numPr>
            </w:pPr>
            <w:r w:rsidRPr="00B05C46">
              <w:lastRenderedPageBreak/>
              <w:t xml:space="preserve">Bringing activation to a vacant upon which the agent marketing the </w:t>
            </w:r>
            <w:r w:rsidRPr="00B05C46">
              <w:lastRenderedPageBreak/>
              <w:t>unit can capitalise</w:t>
            </w:r>
          </w:p>
          <w:p w14:paraId="04DC0B6A" w14:textId="77777777" w:rsidR="00462F9B" w:rsidRPr="00B05C46" w:rsidRDefault="00462F9B" w:rsidP="00462F9B">
            <w:pPr>
              <w:pStyle w:val="ListParagraph"/>
              <w:numPr>
                <w:ilvl w:val="0"/>
                <w:numId w:val="8"/>
              </w:numPr>
            </w:pPr>
            <w:r w:rsidRPr="00B05C46">
              <w:t>Providing a PR and Marketing point of difference for Cheltenham</w:t>
            </w:r>
          </w:p>
          <w:p w14:paraId="08AE973C" w14:textId="77777777" w:rsidR="00F51BC9" w:rsidRPr="00B05C46" w:rsidRDefault="00F51BC9" w:rsidP="00462F9B">
            <w:pPr>
              <w:pStyle w:val="ListParagraph"/>
              <w:numPr>
                <w:ilvl w:val="0"/>
                <w:numId w:val="8"/>
              </w:numPr>
            </w:pPr>
            <w:r w:rsidRPr="00B05C46">
              <w:t>Using assets to deliver social value locally and contribute to more corporate Sustainable Development Goals and the private sector contribution to the circular economy</w:t>
            </w:r>
          </w:p>
        </w:tc>
        <w:tc>
          <w:tcPr>
            <w:tcW w:w="3081" w:type="dxa"/>
          </w:tcPr>
          <w:p w14:paraId="2CEC9557" w14:textId="77777777" w:rsidR="008178D5" w:rsidRPr="00B05C46" w:rsidRDefault="00B74ED5" w:rsidP="0084151E">
            <w:pPr>
              <w:pStyle w:val="ListParagraph"/>
              <w:numPr>
                <w:ilvl w:val="0"/>
                <w:numId w:val="9"/>
              </w:numPr>
            </w:pPr>
            <w:r w:rsidRPr="00B05C46">
              <w:lastRenderedPageBreak/>
              <w:t xml:space="preserve">Opportunity to test new entrepreneurial ideas within a live </w:t>
            </w:r>
            <w:r w:rsidRPr="00B05C46">
              <w:lastRenderedPageBreak/>
              <w:t>market place</w:t>
            </w:r>
            <w:r w:rsidR="00462F9B" w:rsidRPr="00B05C46">
              <w:t xml:space="preserve"> within a town centre location</w:t>
            </w:r>
          </w:p>
          <w:p w14:paraId="0B29FB75" w14:textId="77777777" w:rsidR="00462F9B" w:rsidRPr="00B05C46" w:rsidRDefault="00462F9B" w:rsidP="00462F9B">
            <w:pPr>
              <w:pStyle w:val="ListParagraph"/>
              <w:numPr>
                <w:ilvl w:val="0"/>
                <w:numId w:val="9"/>
              </w:numPr>
            </w:pPr>
            <w:r w:rsidRPr="00B05C46">
              <w:t xml:space="preserve">Bringing together </w:t>
            </w:r>
            <w:r w:rsidR="0084151E" w:rsidRPr="00B05C46">
              <w:t>complimentary cultural and commercial partners that facilitates deeper business partnerships and community links</w:t>
            </w:r>
          </w:p>
          <w:p w14:paraId="64A06A9A" w14:textId="77777777" w:rsidR="00211A8B" w:rsidRPr="00B05C46" w:rsidRDefault="00211A8B" w:rsidP="00211A8B">
            <w:pPr>
              <w:pStyle w:val="ListParagraph"/>
              <w:numPr>
                <w:ilvl w:val="0"/>
                <w:numId w:val="9"/>
              </w:numPr>
            </w:pPr>
            <w:r w:rsidRPr="00B05C46">
              <w:t>Drive community engagement and local charity awareness</w:t>
            </w:r>
          </w:p>
        </w:tc>
      </w:tr>
    </w:tbl>
    <w:p w14:paraId="57A8C97E" w14:textId="77777777" w:rsidR="008178D5" w:rsidRDefault="008178D5">
      <w:pPr>
        <w:rPr>
          <w:b/>
        </w:rPr>
      </w:pPr>
    </w:p>
    <w:p w14:paraId="09B31782" w14:textId="1D30CE0C" w:rsidR="00FF3F21" w:rsidRDefault="00FF3F21">
      <w:pPr>
        <w:rPr>
          <w:b/>
        </w:rPr>
      </w:pPr>
      <w:r>
        <w:rPr>
          <w:b/>
        </w:rPr>
        <w:t>Occupation of vacant unit</w:t>
      </w:r>
    </w:p>
    <w:p w14:paraId="09727F14" w14:textId="389EF5AF" w:rsidR="00FF3F21" w:rsidRDefault="00FF3F21" w:rsidP="00FF3F21">
      <w:pPr>
        <w:spacing w:after="0" w:line="240" w:lineRule="auto"/>
        <w:rPr>
          <w:rFonts w:ascii="Calibri" w:eastAsia="Calibri" w:hAnsi="Calibri" w:cs="Calibri"/>
        </w:rPr>
      </w:pPr>
      <w:r>
        <w:rPr>
          <w:rFonts w:ascii="Calibri" w:eastAsia="Calibri" w:hAnsi="Calibri" w:cs="Calibri"/>
        </w:rPr>
        <w:t>Occupation will need some form of lease</w:t>
      </w:r>
    </w:p>
    <w:p w14:paraId="44F4EDF7" w14:textId="77777777" w:rsidR="00FF3F21" w:rsidRDefault="00FF3F21" w:rsidP="00FF3F21">
      <w:pPr>
        <w:spacing w:after="0" w:line="240" w:lineRule="auto"/>
        <w:rPr>
          <w:rFonts w:ascii="Calibri" w:eastAsia="Times New Roman" w:hAnsi="Calibri" w:cs="Calibri"/>
        </w:rPr>
      </w:pPr>
      <w:r>
        <w:rPr>
          <w:rFonts w:ascii="Calibri" w:eastAsia="Calibri" w:hAnsi="Calibri" w:cs="Calibri"/>
        </w:rPr>
        <w:t>1.</w:t>
      </w:r>
      <w:r>
        <w:rPr>
          <w:rFonts w:ascii="Calibri" w:eastAsia="Calibri" w:hAnsi="Calibri" w:cs="Calibri"/>
        </w:rPr>
        <w:tab/>
      </w:r>
      <w:proofErr w:type="gramStart"/>
      <w:r w:rsidRPr="00FF3F21">
        <w:rPr>
          <w:rFonts w:ascii="Calibri" w:eastAsia="Times New Roman" w:hAnsi="Calibri" w:cs="Calibri"/>
        </w:rPr>
        <w:t>short</w:t>
      </w:r>
      <w:proofErr w:type="gramEnd"/>
      <w:r w:rsidRPr="00FF3F21">
        <w:rPr>
          <w:rFonts w:ascii="Calibri" w:eastAsia="Times New Roman" w:hAnsi="Calibri" w:cs="Calibri"/>
        </w:rPr>
        <w:t xml:space="preserve"> term lease for a defined period – no more than </w:t>
      </w:r>
      <w:r>
        <w:rPr>
          <w:rFonts w:ascii="Calibri" w:eastAsia="Times New Roman" w:hAnsi="Calibri" w:cs="Calibri"/>
        </w:rPr>
        <w:t>x weeks/months</w:t>
      </w:r>
      <w:r w:rsidRPr="00FF3F21">
        <w:rPr>
          <w:rFonts w:ascii="Calibri" w:eastAsia="Times New Roman" w:hAnsi="Calibri" w:cs="Calibri"/>
        </w:rPr>
        <w:t xml:space="preserve">; </w:t>
      </w:r>
      <w:r>
        <w:rPr>
          <w:rFonts w:ascii="Calibri" w:eastAsia="Times New Roman" w:hAnsi="Calibri" w:cs="Calibri"/>
        </w:rPr>
        <w:t xml:space="preserve"> of</w:t>
      </w:r>
    </w:p>
    <w:p w14:paraId="7761F229" w14:textId="2EE1BEDE" w:rsidR="00FF3F21" w:rsidRPr="00FF3F21" w:rsidRDefault="00FF3F21" w:rsidP="00FF3F21">
      <w:pPr>
        <w:spacing w:after="0" w:line="240" w:lineRule="auto"/>
        <w:ind w:left="709" w:hanging="709"/>
        <w:rPr>
          <w:rFonts w:ascii="Calibri" w:eastAsia="Times New Roman" w:hAnsi="Calibri" w:cs="Calibri"/>
        </w:rPr>
      </w:pPr>
      <w:r w:rsidRPr="00FF3F21">
        <w:rPr>
          <w:rFonts w:ascii="Calibri" w:eastAsia="Times New Roman" w:hAnsi="Calibri" w:cs="Calibri"/>
        </w:rPr>
        <w:t xml:space="preserve">2. </w:t>
      </w:r>
      <w:r>
        <w:rPr>
          <w:rFonts w:ascii="Calibri" w:eastAsia="Times New Roman" w:hAnsi="Calibri" w:cs="Calibri"/>
        </w:rPr>
        <w:tab/>
      </w:r>
      <w:proofErr w:type="gramStart"/>
      <w:r w:rsidRPr="00FF3F21">
        <w:rPr>
          <w:rFonts w:ascii="Calibri" w:eastAsia="Times New Roman" w:hAnsi="Calibri" w:cs="Calibri"/>
        </w:rPr>
        <w:t>a</w:t>
      </w:r>
      <w:proofErr w:type="gramEnd"/>
      <w:r w:rsidRPr="00FF3F21">
        <w:rPr>
          <w:rFonts w:ascii="Calibri" w:eastAsia="Times New Roman" w:hAnsi="Calibri" w:cs="Calibri"/>
        </w:rPr>
        <w:t xml:space="preserve"> tenancy at will which is a rolling arrangement which can be terminated by either party on notice (the notice period could set the minimum term length </w:t>
      </w:r>
      <w:proofErr w:type="spellStart"/>
      <w:r w:rsidRPr="00FF3F21">
        <w:rPr>
          <w:rFonts w:ascii="Calibri" w:eastAsia="Times New Roman" w:hAnsi="Calibri" w:cs="Calibri"/>
        </w:rPr>
        <w:t>ie:one</w:t>
      </w:r>
      <w:proofErr w:type="spellEnd"/>
      <w:r w:rsidRPr="00FF3F21">
        <w:rPr>
          <w:rFonts w:ascii="Calibri" w:eastAsia="Times New Roman" w:hAnsi="Calibri" w:cs="Calibri"/>
        </w:rPr>
        <w:t xml:space="preserve"> month; one week etc.). </w:t>
      </w:r>
    </w:p>
    <w:p w14:paraId="2564046C" w14:textId="77777777" w:rsidR="00FF3F21" w:rsidRDefault="00FF3F21" w:rsidP="00FF3F21">
      <w:pPr>
        <w:spacing w:after="0" w:line="240" w:lineRule="auto"/>
        <w:rPr>
          <w:rFonts w:ascii="Calibri" w:eastAsia="Times New Roman" w:hAnsi="Calibri" w:cs="Calibri"/>
        </w:rPr>
      </w:pPr>
    </w:p>
    <w:p w14:paraId="13718BF5" w14:textId="77777777" w:rsidR="00FF3F21" w:rsidRDefault="00FF3F21" w:rsidP="00FF3F21">
      <w:pPr>
        <w:spacing w:after="0" w:line="240" w:lineRule="auto"/>
        <w:rPr>
          <w:rFonts w:ascii="Calibri" w:eastAsia="Times New Roman" w:hAnsi="Calibri" w:cs="Calibri"/>
        </w:rPr>
      </w:pPr>
      <w:r>
        <w:rPr>
          <w:rFonts w:ascii="Calibri" w:eastAsia="Times New Roman" w:hAnsi="Calibri" w:cs="Calibri"/>
        </w:rPr>
        <w:t xml:space="preserve">Assuming the latter of the options above a draft </w:t>
      </w:r>
      <w:r w:rsidRPr="00FF3F21">
        <w:rPr>
          <w:rFonts w:ascii="Calibri" w:eastAsia="Times New Roman" w:hAnsi="Calibri" w:cs="Calibri"/>
        </w:rPr>
        <w:t xml:space="preserve">generic document could </w:t>
      </w:r>
      <w:proofErr w:type="gramStart"/>
      <w:r w:rsidRPr="00FF3F21">
        <w:rPr>
          <w:rFonts w:ascii="Calibri" w:eastAsia="Times New Roman" w:hAnsi="Calibri" w:cs="Calibri"/>
        </w:rPr>
        <w:t>circulate</w:t>
      </w:r>
      <w:r>
        <w:rPr>
          <w:rFonts w:ascii="Calibri" w:eastAsia="Times New Roman" w:hAnsi="Calibri" w:cs="Calibri"/>
        </w:rPr>
        <w:t>d</w:t>
      </w:r>
      <w:r w:rsidRPr="00FF3F21">
        <w:rPr>
          <w:rFonts w:ascii="Calibri" w:eastAsia="Times New Roman" w:hAnsi="Calibri" w:cs="Calibri"/>
        </w:rPr>
        <w:t xml:space="preserve"> to the relevant landlord/their</w:t>
      </w:r>
      <w:proofErr w:type="gramEnd"/>
      <w:r w:rsidRPr="00FF3F21">
        <w:rPr>
          <w:rFonts w:ascii="Calibri" w:eastAsia="Times New Roman" w:hAnsi="Calibri" w:cs="Calibri"/>
        </w:rPr>
        <w:t xml:space="preserve"> agents as a starting point</w:t>
      </w:r>
      <w:r>
        <w:rPr>
          <w:rFonts w:ascii="Calibri" w:eastAsia="Times New Roman" w:hAnsi="Calibri" w:cs="Calibri"/>
        </w:rPr>
        <w:t xml:space="preserve"> for discussion</w:t>
      </w:r>
      <w:r w:rsidRPr="00FF3F21">
        <w:rPr>
          <w:rFonts w:ascii="Calibri" w:eastAsia="Times New Roman" w:hAnsi="Calibri" w:cs="Calibri"/>
        </w:rPr>
        <w:t xml:space="preserve">.  It would then be </w:t>
      </w:r>
      <w:r>
        <w:rPr>
          <w:rFonts w:ascii="Calibri" w:eastAsia="Times New Roman" w:hAnsi="Calibri" w:cs="Calibri"/>
        </w:rPr>
        <w:t>for the landlords to finalise. </w:t>
      </w:r>
    </w:p>
    <w:p w14:paraId="1DB96F30" w14:textId="77777777" w:rsidR="00FF3F21" w:rsidRDefault="00FF3F21" w:rsidP="00FF3F21">
      <w:pPr>
        <w:spacing w:after="0" w:line="240" w:lineRule="auto"/>
        <w:rPr>
          <w:rFonts w:ascii="Calibri" w:eastAsia="Times New Roman" w:hAnsi="Calibri" w:cs="Calibri"/>
        </w:rPr>
      </w:pPr>
    </w:p>
    <w:p w14:paraId="2EAC35DE" w14:textId="77777777" w:rsidR="00EB437A" w:rsidRDefault="00FF3F21" w:rsidP="00FF3F21">
      <w:pPr>
        <w:tabs>
          <w:tab w:val="num" w:pos="720"/>
        </w:tabs>
        <w:spacing w:after="0" w:line="240" w:lineRule="auto"/>
        <w:rPr>
          <w:rFonts w:ascii="Calibri" w:eastAsia="Times New Roman" w:hAnsi="Calibri" w:cs="Calibri"/>
        </w:rPr>
      </w:pPr>
      <w:r>
        <w:rPr>
          <w:rFonts w:ascii="Calibri" w:eastAsia="Times New Roman" w:hAnsi="Calibri" w:cs="Calibri"/>
        </w:rPr>
        <w:t>The role of agents will be key partners to assist understanding the position of absentee landlords</w:t>
      </w:r>
      <w:r w:rsidR="00EB437A">
        <w:rPr>
          <w:rFonts w:ascii="Calibri" w:eastAsia="Times New Roman" w:hAnsi="Calibri" w:cs="Calibri"/>
        </w:rPr>
        <w:t>.</w:t>
      </w:r>
    </w:p>
    <w:p w14:paraId="22EDDB26" w14:textId="77777777" w:rsidR="00EB437A" w:rsidRDefault="00EB437A" w:rsidP="00FF3F21">
      <w:pPr>
        <w:tabs>
          <w:tab w:val="num" w:pos="720"/>
        </w:tabs>
        <w:spacing w:after="0" w:line="240" w:lineRule="auto"/>
        <w:rPr>
          <w:rFonts w:ascii="Calibri" w:eastAsia="Times New Roman" w:hAnsi="Calibri" w:cs="Calibri"/>
        </w:rPr>
      </w:pPr>
    </w:p>
    <w:p w14:paraId="6AAC103C" w14:textId="1D87F805" w:rsidR="00FF3F21" w:rsidRPr="00FF3F21" w:rsidRDefault="00EB437A" w:rsidP="00EB437A">
      <w:pPr>
        <w:tabs>
          <w:tab w:val="num" w:pos="720"/>
          <w:tab w:val="num" w:pos="1440"/>
        </w:tabs>
        <w:spacing w:after="0" w:line="240" w:lineRule="auto"/>
        <w:rPr>
          <w:rFonts w:ascii="Calibri" w:eastAsia="Times New Roman" w:hAnsi="Calibri" w:cs="Calibri"/>
        </w:rPr>
      </w:pPr>
      <w:r>
        <w:rPr>
          <w:rFonts w:ascii="Calibri" w:eastAsia="Times New Roman" w:hAnsi="Calibri" w:cs="Calibri"/>
        </w:rPr>
        <w:t xml:space="preserve">Careful assessment is need of the list below and where responsibilities/commitments sit.  These cannot be assumed to be passed onto the occupier as this would make the project unviable.  </w:t>
      </w:r>
      <w:r w:rsidR="00FF3F21" w:rsidRPr="00FF3F21">
        <w:rPr>
          <w:rFonts w:ascii="Calibri" w:eastAsia="Times New Roman" w:hAnsi="Calibri" w:cs="Calibri"/>
        </w:rPr>
        <w:t>Rent;</w:t>
      </w:r>
    </w:p>
    <w:p w14:paraId="65F7B678" w14:textId="77777777" w:rsidR="00FF3F21" w:rsidRPr="00FF3F21" w:rsidRDefault="00FF3F21" w:rsidP="00EB437A">
      <w:pPr>
        <w:numPr>
          <w:ilvl w:val="1"/>
          <w:numId w:val="18"/>
        </w:numPr>
        <w:tabs>
          <w:tab w:val="clear" w:pos="1440"/>
        </w:tabs>
        <w:spacing w:after="0" w:line="240" w:lineRule="auto"/>
        <w:ind w:left="851" w:hanging="851"/>
        <w:rPr>
          <w:rFonts w:ascii="Calibri" w:eastAsia="Times New Roman" w:hAnsi="Calibri" w:cs="Calibri"/>
        </w:rPr>
      </w:pPr>
      <w:r w:rsidRPr="00FF3F21">
        <w:rPr>
          <w:rFonts w:ascii="Calibri" w:eastAsia="Times New Roman" w:hAnsi="Calibri" w:cs="Calibri"/>
        </w:rPr>
        <w:t>Rates;</w:t>
      </w:r>
    </w:p>
    <w:p w14:paraId="6B201047" w14:textId="77777777" w:rsidR="00FF3F21" w:rsidRPr="00FF3F21" w:rsidRDefault="00FF3F21" w:rsidP="00EB437A">
      <w:pPr>
        <w:numPr>
          <w:ilvl w:val="1"/>
          <w:numId w:val="18"/>
        </w:numPr>
        <w:tabs>
          <w:tab w:val="clear" w:pos="1440"/>
        </w:tabs>
        <w:spacing w:after="0" w:line="240" w:lineRule="auto"/>
        <w:ind w:left="851" w:hanging="851"/>
        <w:rPr>
          <w:rFonts w:ascii="Calibri" w:eastAsia="Times New Roman" w:hAnsi="Calibri" w:cs="Calibri"/>
        </w:rPr>
      </w:pPr>
      <w:r w:rsidRPr="00FF3F21">
        <w:rPr>
          <w:rFonts w:ascii="Calibri" w:eastAsia="Times New Roman" w:hAnsi="Calibri" w:cs="Calibri"/>
        </w:rPr>
        <w:t>BID payments;</w:t>
      </w:r>
    </w:p>
    <w:p w14:paraId="481D6935" w14:textId="77777777" w:rsidR="00FF3F21" w:rsidRPr="00FF3F21" w:rsidRDefault="00FF3F21" w:rsidP="00EB437A">
      <w:pPr>
        <w:numPr>
          <w:ilvl w:val="1"/>
          <w:numId w:val="18"/>
        </w:numPr>
        <w:tabs>
          <w:tab w:val="clear" w:pos="1440"/>
        </w:tabs>
        <w:spacing w:after="0" w:line="240" w:lineRule="auto"/>
        <w:ind w:left="851" w:hanging="851"/>
        <w:rPr>
          <w:rFonts w:ascii="Calibri" w:eastAsia="Times New Roman" w:hAnsi="Calibri" w:cs="Calibri"/>
        </w:rPr>
      </w:pPr>
      <w:r w:rsidRPr="00FF3F21">
        <w:rPr>
          <w:rFonts w:ascii="Calibri" w:eastAsia="Times New Roman" w:hAnsi="Calibri" w:cs="Calibri"/>
        </w:rPr>
        <w:t>Service charge (excluding utilities);</w:t>
      </w:r>
    </w:p>
    <w:p w14:paraId="2B59E202" w14:textId="77777777" w:rsidR="00FF3F21" w:rsidRPr="00FF3F21" w:rsidRDefault="00FF3F21" w:rsidP="00EB437A">
      <w:pPr>
        <w:numPr>
          <w:ilvl w:val="1"/>
          <w:numId w:val="18"/>
        </w:numPr>
        <w:tabs>
          <w:tab w:val="clear" w:pos="1440"/>
        </w:tabs>
        <w:spacing w:after="0" w:line="240" w:lineRule="auto"/>
        <w:ind w:left="851" w:hanging="851"/>
        <w:rPr>
          <w:rFonts w:ascii="Calibri" w:eastAsia="Times New Roman" w:hAnsi="Calibri" w:cs="Calibri"/>
        </w:rPr>
      </w:pPr>
      <w:r w:rsidRPr="00FF3F21">
        <w:rPr>
          <w:rFonts w:ascii="Calibri" w:eastAsia="Times New Roman" w:hAnsi="Calibri" w:cs="Calibri"/>
        </w:rPr>
        <w:t>Building insurance costs;</w:t>
      </w:r>
    </w:p>
    <w:p w14:paraId="324032B4" w14:textId="77777777" w:rsidR="00FF3F21" w:rsidRPr="00FF3F21" w:rsidRDefault="00FF3F21" w:rsidP="00EB437A">
      <w:pPr>
        <w:numPr>
          <w:ilvl w:val="1"/>
          <w:numId w:val="18"/>
        </w:numPr>
        <w:tabs>
          <w:tab w:val="clear" w:pos="1440"/>
        </w:tabs>
        <w:spacing w:after="0" w:line="240" w:lineRule="auto"/>
        <w:ind w:left="851" w:hanging="851"/>
        <w:rPr>
          <w:rFonts w:ascii="Calibri" w:eastAsia="Times New Roman" w:hAnsi="Calibri" w:cs="Calibri"/>
        </w:rPr>
      </w:pPr>
      <w:r w:rsidRPr="00FF3F21">
        <w:rPr>
          <w:rFonts w:ascii="Calibri" w:eastAsia="Times New Roman" w:hAnsi="Calibri" w:cs="Calibri"/>
        </w:rPr>
        <w:t>Other outgoings of any sort (costs arising from statutory compliance of any sort);</w:t>
      </w:r>
    </w:p>
    <w:p w14:paraId="63E60445" w14:textId="77777777" w:rsidR="00FF3F21" w:rsidRPr="00FF3F21" w:rsidRDefault="00FF3F21" w:rsidP="00EB437A">
      <w:pPr>
        <w:numPr>
          <w:ilvl w:val="1"/>
          <w:numId w:val="18"/>
        </w:numPr>
        <w:tabs>
          <w:tab w:val="clear" w:pos="1440"/>
        </w:tabs>
        <w:spacing w:after="0" w:line="240" w:lineRule="auto"/>
        <w:ind w:left="851" w:hanging="851"/>
        <w:rPr>
          <w:rFonts w:ascii="Calibri" w:eastAsia="Times New Roman" w:hAnsi="Calibri" w:cs="Calibri"/>
        </w:rPr>
      </w:pPr>
      <w:r w:rsidRPr="00FF3F21">
        <w:rPr>
          <w:rFonts w:ascii="Calibri" w:eastAsia="Times New Roman" w:hAnsi="Calibri" w:cs="Calibri"/>
        </w:rPr>
        <w:t>Disrepair to the fabric of the unit unless caused by them;</w:t>
      </w:r>
    </w:p>
    <w:p w14:paraId="0A3EC5F4" w14:textId="77777777" w:rsidR="00FF3F21" w:rsidRPr="00FF3F21" w:rsidRDefault="00FF3F21" w:rsidP="00FF3F21">
      <w:pPr>
        <w:spacing w:after="0" w:line="240" w:lineRule="auto"/>
        <w:ind w:left="1440"/>
        <w:rPr>
          <w:rFonts w:ascii="Calibri" w:eastAsia="Calibri" w:hAnsi="Calibri" w:cs="Calibri"/>
        </w:rPr>
      </w:pPr>
    </w:p>
    <w:p w14:paraId="253CD0EC" w14:textId="77777777" w:rsidR="00FF3F21" w:rsidRPr="00FF3F21" w:rsidRDefault="00FF3F21" w:rsidP="00EB437A">
      <w:pPr>
        <w:spacing w:after="0" w:line="240" w:lineRule="auto"/>
        <w:rPr>
          <w:rFonts w:ascii="Calibri" w:eastAsia="Times New Roman" w:hAnsi="Calibri" w:cs="Calibri"/>
        </w:rPr>
      </w:pPr>
      <w:r w:rsidRPr="00FF3F21">
        <w:rPr>
          <w:rFonts w:ascii="Calibri" w:eastAsia="Times New Roman" w:hAnsi="Calibri" w:cs="Calibri"/>
        </w:rPr>
        <w:t xml:space="preserve">An occupier would be liable for the following: </w:t>
      </w:r>
    </w:p>
    <w:p w14:paraId="2927B8D0" w14:textId="49C210C4" w:rsidR="00FF3F21" w:rsidRPr="00FF3F21" w:rsidRDefault="00FF3F21" w:rsidP="00EB437A">
      <w:pPr>
        <w:numPr>
          <w:ilvl w:val="1"/>
          <w:numId w:val="19"/>
        </w:numPr>
        <w:tabs>
          <w:tab w:val="clear" w:pos="1440"/>
        </w:tabs>
        <w:spacing w:after="0" w:line="240" w:lineRule="auto"/>
        <w:ind w:left="851" w:hanging="851"/>
        <w:rPr>
          <w:rFonts w:ascii="Calibri" w:eastAsia="Times New Roman" w:hAnsi="Calibri" w:cs="Calibri"/>
        </w:rPr>
      </w:pPr>
      <w:r w:rsidRPr="00FF3F21">
        <w:rPr>
          <w:rFonts w:ascii="Calibri" w:eastAsia="Times New Roman" w:hAnsi="Calibri" w:cs="Calibri"/>
        </w:rPr>
        <w:t xml:space="preserve">Costs of their own contents insurance and </w:t>
      </w:r>
      <w:r w:rsidR="00EB437A">
        <w:rPr>
          <w:rFonts w:ascii="Calibri" w:eastAsia="Times New Roman" w:hAnsi="Calibri" w:cs="Calibri"/>
        </w:rPr>
        <w:t xml:space="preserve">public </w:t>
      </w:r>
      <w:proofErr w:type="spellStart"/>
      <w:r w:rsidR="00EB437A">
        <w:rPr>
          <w:rFonts w:ascii="Calibri" w:eastAsia="Times New Roman" w:hAnsi="Calibri" w:cs="Calibri"/>
        </w:rPr>
        <w:t>liabilioty</w:t>
      </w:r>
      <w:proofErr w:type="spellEnd"/>
      <w:r w:rsidRPr="00FF3F21">
        <w:rPr>
          <w:rFonts w:ascii="Calibri" w:eastAsia="Times New Roman" w:hAnsi="Calibri" w:cs="Calibri"/>
        </w:rPr>
        <w:t xml:space="preserve"> insurance for hosting the pop up – and levels should be agreed and be a pre-requisite of taking space </w:t>
      </w:r>
      <w:r w:rsidR="00EB437A">
        <w:rPr>
          <w:rFonts w:ascii="Calibri" w:eastAsia="Times New Roman" w:hAnsi="Calibri" w:cs="Calibri"/>
        </w:rPr>
        <w:t>(need to understand the type of insurance this would be)</w:t>
      </w:r>
      <w:r w:rsidRPr="00FF3F21">
        <w:rPr>
          <w:rFonts w:ascii="Calibri" w:eastAsia="Times New Roman" w:hAnsi="Calibri" w:cs="Calibri"/>
        </w:rPr>
        <w:t>;</w:t>
      </w:r>
    </w:p>
    <w:p w14:paraId="73E9DD8C" w14:textId="77777777" w:rsidR="00FF3F21" w:rsidRPr="00FF3F21" w:rsidRDefault="00FF3F21" w:rsidP="00EB437A">
      <w:pPr>
        <w:numPr>
          <w:ilvl w:val="1"/>
          <w:numId w:val="19"/>
        </w:numPr>
        <w:tabs>
          <w:tab w:val="clear" w:pos="1440"/>
        </w:tabs>
        <w:spacing w:after="0" w:line="240" w:lineRule="auto"/>
        <w:ind w:left="851" w:hanging="851"/>
        <w:rPr>
          <w:rFonts w:ascii="Calibri" w:eastAsia="Times New Roman" w:hAnsi="Calibri" w:cs="Calibri"/>
        </w:rPr>
      </w:pPr>
      <w:r w:rsidRPr="00FF3F21">
        <w:rPr>
          <w:rFonts w:ascii="Calibri" w:eastAsia="Times New Roman" w:hAnsi="Calibri" w:cs="Calibri"/>
        </w:rPr>
        <w:t>Costs of consumption of services – to be invoiced by the landlord (meter readings taken at beginning and end of occupancy);</w:t>
      </w:r>
    </w:p>
    <w:p w14:paraId="6DE549D4" w14:textId="77777777" w:rsidR="00FF3F21" w:rsidRPr="00FF3F21" w:rsidRDefault="00FF3F21" w:rsidP="00EB437A">
      <w:pPr>
        <w:numPr>
          <w:ilvl w:val="1"/>
          <w:numId w:val="19"/>
        </w:numPr>
        <w:tabs>
          <w:tab w:val="clear" w:pos="1440"/>
        </w:tabs>
        <w:spacing w:after="0" w:line="240" w:lineRule="auto"/>
        <w:ind w:left="851" w:hanging="851"/>
        <w:rPr>
          <w:rFonts w:ascii="Calibri" w:eastAsia="Times New Roman" w:hAnsi="Calibri" w:cs="Calibri"/>
        </w:rPr>
      </w:pPr>
      <w:r w:rsidRPr="00FF3F21">
        <w:rPr>
          <w:rFonts w:ascii="Calibri" w:eastAsia="Times New Roman" w:hAnsi="Calibri" w:cs="Calibri"/>
        </w:rPr>
        <w:t>Keeping the unit clean (interior, windows (in and out));</w:t>
      </w:r>
    </w:p>
    <w:p w14:paraId="104E4188" w14:textId="77777777" w:rsidR="00FF3F21" w:rsidRPr="00FF3F21" w:rsidRDefault="00FF3F21" w:rsidP="00EB437A">
      <w:pPr>
        <w:numPr>
          <w:ilvl w:val="1"/>
          <w:numId w:val="19"/>
        </w:numPr>
        <w:tabs>
          <w:tab w:val="clear" w:pos="1440"/>
        </w:tabs>
        <w:spacing w:after="0" w:line="240" w:lineRule="auto"/>
        <w:ind w:left="851" w:hanging="851"/>
        <w:rPr>
          <w:rFonts w:ascii="Calibri" w:eastAsia="Times New Roman" w:hAnsi="Calibri" w:cs="Calibri"/>
        </w:rPr>
      </w:pPr>
      <w:r w:rsidRPr="00FF3F21">
        <w:rPr>
          <w:rFonts w:ascii="Calibri" w:eastAsia="Times New Roman" w:hAnsi="Calibri" w:cs="Calibri"/>
        </w:rPr>
        <w:t>Any damage caused to the unit;</w:t>
      </w:r>
    </w:p>
    <w:p w14:paraId="2534A718" w14:textId="77777777" w:rsidR="00FF3F21" w:rsidRPr="00FF3F21" w:rsidRDefault="00FF3F21" w:rsidP="00EB437A">
      <w:pPr>
        <w:numPr>
          <w:ilvl w:val="1"/>
          <w:numId w:val="19"/>
        </w:numPr>
        <w:tabs>
          <w:tab w:val="clear" w:pos="1440"/>
        </w:tabs>
        <w:spacing w:after="0" w:line="240" w:lineRule="auto"/>
        <w:ind w:left="851" w:hanging="851"/>
        <w:rPr>
          <w:rFonts w:ascii="Calibri" w:eastAsia="Times New Roman" w:hAnsi="Calibri" w:cs="Calibri"/>
        </w:rPr>
      </w:pPr>
      <w:r w:rsidRPr="00FF3F21">
        <w:rPr>
          <w:rFonts w:ascii="Calibri" w:eastAsia="Times New Roman" w:hAnsi="Calibri" w:cs="Calibri"/>
        </w:rPr>
        <w:t>Security in so far as obligations to lock the unit etc.;</w:t>
      </w:r>
    </w:p>
    <w:p w14:paraId="6FFB0F65" w14:textId="77777777" w:rsidR="00FF3F21" w:rsidRPr="00FF3F21" w:rsidRDefault="00FF3F21" w:rsidP="00EB437A">
      <w:pPr>
        <w:numPr>
          <w:ilvl w:val="1"/>
          <w:numId w:val="19"/>
        </w:numPr>
        <w:tabs>
          <w:tab w:val="clear" w:pos="1440"/>
        </w:tabs>
        <w:spacing w:after="0" w:line="240" w:lineRule="auto"/>
        <w:ind w:left="851" w:hanging="851"/>
        <w:rPr>
          <w:rFonts w:ascii="Calibri" w:eastAsia="Times New Roman" w:hAnsi="Calibri" w:cs="Calibri"/>
        </w:rPr>
      </w:pPr>
      <w:r w:rsidRPr="00FF3F21">
        <w:rPr>
          <w:rFonts w:ascii="Calibri" w:eastAsia="Times New Roman" w:hAnsi="Calibri" w:cs="Calibri"/>
        </w:rPr>
        <w:t>Compliance/not breaching the prohibitions in the landlord’s buildings insurance.</w:t>
      </w:r>
    </w:p>
    <w:p w14:paraId="0D8A8111" w14:textId="77777777" w:rsidR="00FF3F21" w:rsidRPr="00FF3F21" w:rsidRDefault="00FF3F21" w:rsidP="00FF3F21">
      <w:pPr>
        <w:spacing w:after="0" w:line="240" w:lineRule="auto"/>
        <w:rPr>
          <w:rFonts w:ascii="Calibri" w:eastAsia="Calibri" w:hAnsi="Calibri" w:cs="Calibri"/>
        </w:rPr>
      </w:pPr>
    </w:p>
    <w:p w14:paraId="158627E5" w14:textId="72ECEBDF" w:rsidR="00FF3F21" w:rsidRPr="00FF3F21" w:rsidRDefault="00FF3F21" w:rsidP="00FF3F21">
      <w:pPr>
        <w:spacing w:after="0" w:line="240" w:lineRule="auto"/>
        <w:rPr>
          <w:rFonts w:ascii="Calibri" w:eastAsia="Calibri" w:hAnsi="Calibri" w:cs="Calibri"/>
        </w:rPr>
      </w:pPr>
      <w:r w:rsidRPr="00FF3F21">
        <w:rPr>
          <w:rFonts w:ascii="Calibri" w:eastAsia="Calibri" w:hAnsi="Calibri" w:cs="Calibri"/>
        </w:rPr>
        <w:t xml:space="preserve">We need to think </w:t>
      </w:r>
      <w:proofErr w:type="gramStart"/>
      <w:r w:rsidR="00EB437A">
        <w:rPr>
          <w:rFonts w:ascii="Calibri" w:eastAsia="Calibri" w:hAnsi="Calibri" w:cs="Calibri"/>
        </w:rPr>
        <w:t>Further</w:t>
      </w:r>
      <w:proofErr w:type="gramEnd"/>
      <w:r w:rsidR="00EB437A">
        <w:rPr>
          <w:rFonts w:ascii="Calibri" w:eastAsia="Calibri" w:hAnsi="Calibri" w:cs="Calibri"/>
        </w:rPr>
        <w:t xml:space="preserve"> assessment is needed on the following</w:t>
      </w:r>
    </w:p>
    <w:p w14:paraId="00236299" w14:textId="77777777" w:rsidR="00FF3F21" w:rsidRPr="00FF3F21" w:rsidRDefault="00FF3F21" w:rsidP="00EB437A">
      <w:pPr>
        <w:numPr>
          <w:ilvl w:val="1"/>
          <w:numId w:val="21"/>
        </w:numPr>
        <w:tabs>
          <w:tab w:val="clear" w:pos="1440"/>
        </w:tabs>
        <w:spacing w:after="0" w:line="240" w:lineRule="auto"/>
        <w:ind w:left="851" w:hanging="851"/>
        <w:rPr>
          <w:rFonts w:ascii="Calibri" w:eastAsia="Times New Roman" w:hAnsi="Calibri" w:cs="Calibri"/>
        </w:rPr>
      </w:pPr>
      <w:r w:rsidRPr="00FF3F21">
        <w:rPr>
          <w:rFonts w:ascii="Calibri" w:eastAsia="Times New Roman" w:hAnsi="Calibri" w:cs="Calibri"/>
        </w:rPr>
        <w:t>Signage – how will the occupier advertise their occupation – Landlord will need to consent to this approach;</w:t>
      </w:r>
    </w:p>
    <w:p w14:paraId="688A4146" w14:textId="77777777" w:rsidR="00FF3F21" w:rsidRPr="00FF3F21" w:rsidRDefault="00FF3F21" w:rsidP="00EB437A">
      <w:pPr>
        <w:numPr>
          <w:ilvl w:val="1"/>
          <w:numId w:val="21"/>
        </w:numPr>
        <w:tabs>
          <w:tab w:val="clear" w:pos="1440"/>
        </w:tabs>
        <w:spacing w:after="0" w:line="240" w:lineRule="auto"/>
        <w:ind w:left="851" w:hanging="851"/>
        <w:rPr>
          <w:rFonts w:ascii="Calibri" w:eastAsia="Times New Roman" w:hAnsi="Calibri" w:cs="Calibri"/>
        </w:rPr>
      </w:pPr>
      <w:r w:rsidRPr="00FF3F21">
        <w:rPr>
          <w:rFonts w:ascii="Calibri" w:eastAsia="Times New Roman" w:hAnsi="Calibri" w:cs="Calibri"/>
        </w:rPr>
        <w:t>Might the landlord be concerned they won’t get paid the costs of the utilities – should there by some sort of upfront payment – could that be underwritten by “an organisation” on the basis that the occupier may not have the funds at the outset?</w:t>
      </w:r>
    </w:p>
    <w:p w14:paraId="1AF71564" w14:textId="6D321CD2" w:rsidR="00FF3F21" w:rsidRPr="00EB437A" w:rsidRDefault="00FF3F21" w:rsidP="00EB437A">
      <w:pPr>
        <w:pStyle w:val="ListParagraph"/>
        <w:numPr>
          <w:ilvl w:val="0"/>
          <w:numId w:val="22"/>
        </w:numPr>
        <w:spacing w:after="0" w:line="240" w:lineRule="auto"/>
        <w:ind w:left="709" w:hanging="709"/>
        <w:rPr>
          <w:rFonts w:ascii="Calibri" w:eastAsia="Times New Roman" w:hAnsi="Calibri" w:cs="Calibri"/>
        </w:rPr>
      </w:pPr>
      <w:r w:rsidRPr="00EB437A">
        <w:rPr>
          <w:rFonts w:ascii="Calibri" w:eastAsia="Times New Roman" w:hAnsi="Calibri" w:cs="Calibri"/>
        </w:rPr>
        <w:lastRenderedPageBreak/>
        <w:t xml:space="preserve">Occupier’s fit out of the unit – are they going to be hanging </w:t>
      </w:r>
      <w:proofErr w:type="spellStart"/>
      <w:r w:rsidRPr="00EB437A">
        <w:rPr>
          <w:rFonts w:ascii="Calibri" w:eastAsia="Times New Roman" w:hAnsi="Calibri" w:cs="Calibri"/>
        </w:rPr>
        <w:t>thingshow</w:t>
      </w:r>
      <w:proofErr w:type="spellEnd"/>
      <w:r w:rsidRPr="00EB437A">
        <w:rPr>
          <w:rFonts w:ascii="Calibri" w:eastAsia="Times New Roman" w:hAnsi="Calibri" w:cs="Calibri"/>
        </w:rPr>
        <w:t xml:space="preserve"> is that going to be made good?  Do they want to paint – should there be a reinstatement obligation to the original colour</w:t>
      </w:r>
      <w:r w:rsidR="00EB437A">
        <w:rPr>
          <w:rFonts w:ascii="Calibri" w:eastAsia="Times New Roman" w:hAnsi="Calibri" w:cs="Calibri"/>
        </w:rPr>
        <w:t xml:space="preserve"> </w:t>
      </w:r>
      <w:proofErr w:type="spellStart"/>
      <w:r w:rsidR="00EB437A">
        <w:rPr>
          <w:rFonts w:ascii="Calibri" w:eastAsia="Times New Roman" w:hAnsi="Calibri" w:cs="Calibri"/>
        </w:rPr>
        <w:t>etc</w:t>
      </w:r>
      <w:proofErr w:type="spellEnd"/>
      <w:proofErr w:type="gramStart"/>
      <w:r w:rsidR="00EB437A">
        <w:rPr>
          <w:rFonts w:ascii="Calibri" w:eastAsia="Times New Roman" w:hAnsi="Calibri" w:cs="Calibri"/>
        </w:rPr>
        <w:t>?</w:t>
      </w:r>
      <w:r w:rsidRPr="00EB437A">
        <w:rPr>
          <w:rFonts w:ascii="Calibri" w:eastAsia="Times New Roman" w:hAnsi="Calibri" w:cs="Calibri"/>
        </w:rPr>
        <w:t>;</w:t>
      </w:r>
      <w:proofErr w:type="gramEnd"/>
    </w:p>
    <w:p w14:paraId="28D9F730" w14:textId="77777777" w:rsidR="00EB437A" w:rsidRDefault="00FF3F21" w:rsidP="00EB437A">
      <w:pPr>
        <w:pStyle w:val="ListParagraph"/>
        <w:numPr>
          <w:ilvl w:val="0"/>
          <w:numId w:val="22"/>
        </w:numPr>
        <w:spacing w:after="0" w:line="240" w:lineRule="auto"/>
        <w:ind w:left="709" w:hanging="709"/>
        <w:rPr>
          <w:rFonts w:ascii="Calibri" w:eastAsia="Times New Roman" w:hAnsi="Calibri" w:cs="Calibri"/>
        </w:rPr>
      </w:pPr>
      <w:r w:rsidRPr="00EB437A">
        <w:rPr>
          <w:rFonts w:ascii="Calibri" w:eastAsia="Times New Roman" w:hAnsi="Calibri" w:cs="Calibri"/>
        </w:rPr>
        <w:t xml:space="preserve">Permitted use </w:t>
      </w:r>
    </w:p>
    <w:p w14:paraId="13FC61F7" w14:textId="1D4951DE" w:rsidR="00FF3F21" w:rsidRPr="00EB437A" w:rsidRDefault="00EB437A" w:rsidP="00EB437A">
      <w:pPr>
        <w:pStyle w:val="ListParagraph"/>
        <w:numPr>
          <w:ilvl w:val="0"/>
          <w:numId w:val="22"/>
        </w:numPr>
        <w:spacing w:after="0" w:line="240" w:lineRule="auto"/>
        <w:ind w:left="709" w:hanging="709"/>
        <w:rPr>
          <w:rFonts w:ascii="Calibri" w:eastAsia="Times New Roman" w:hAnsi="Calibri" w:cs="Calibri"/>
        </w:rPr>
      </w:pPr>
      <w:r>
        <w:rPr>
          <w:rFonts w:ascii="Calibri" w:eastAsia="Times New Roman" w:hAnsi="Calibri" w:cs="Calibri"/>
        </w:rPr>
        <w:t>Planning restrictions</w:t>
      </w:r>
    </w:p>
    <w:p w14:paraId="369987C1" w14:textId="77777777" w:rsidR="00FF3F21" w:rsidRDefault="00FF3F21">
      <w:pPr>
        <w:rPr>
          <w:b/>
        </w:rPr>
      </w:pPr>
    </w:p>
    <w:p w14:paraId="0146D97E" w14:textId="1727BE6D" w:rsidR="00847A2F" w:rsidRDefault="00847A2F">
      <w:pPr>
        <w:rPr>
          <w:b/>
        </w:rPr>
      </w:pPr>
      <w:r w:rsidRPr="00FB284A">
        <w:rPr>
          <w:b/>
        </w:rPr>
        <w:t>Key Risks</w:t>
      </w:r>
      <w:r w:rsidR="00906C11">
        <w:rPr>
          <w:b/>
        </w:rPr>
        <w:t xml:space="preserve"> &amp; constraints</w:t>
      </w:r>
      <w:r w:rsidR="001B5B97">
        <w:rPr>
          <w:b/>
        </w:rPr>
        <w:t xml:space="preserve"> &amp; Project Control</w:t>
      </w:r>
    </w:p>
    <w:p w14:paraId="109A251F" w14:textId="048EC851" w:rsidR="004F39E7" w:rsidRPr="00FB284A" w:rsidRDefault="004F39E7">
      <w:pPr>
        <w:rPr>
          <w:b/>
        </w:rPr>
      </w:pPr>
      <w:r w:rsidRPr="004F39E7">
        <w:rPr>
          <w:b/>
          <w:highlight w:val="yellow"/>
        </w:rPr>
        <w:t>To add</w:t>
      </w:r>
    </w:p>
    <w:p w14:paraId="0854063D" w14:textId="412B5DE0" w:rsidR="00F765B4" w:rsidRPr="004F39E7" w:rsidRDefault="00F765B4">
      <w:pPr>
        <w:rPr>
          <w:b/>
          <w:bCs/>
        </w:rPr>
      </w:pPr>
      <w:r w:rsidRPr="004F39E7">
        <w:rPr>
          <w:b/>
          <w:bCs/>
        </w:rPr>
        <w:t>Funding Model</w:t>
      </w:r>
    </w:p>
    <w:p w14:paraId="37BD21A2" w14:textId="2EDC2394" w:rsidR="00F765B4" w:rsidRPr="004F39E7" w:rsidRDefault="00F765B4">
      <w:pPr>
        <w:rPr>
          <w:bCs/>
        </w:rPr>
      </w:pPr>
      <w:r w:rsidRPr="004F39E7">
        <w:rPr>
          <w:bCs/>
        </w:rPr>
        <w:t xml:space="preserve">Alongside any grants from Government </w:t>
      </w:r>
      <w:r w:rsidR="00B05C46" w:rsidRPr="004F39E7">
        <w:rPr>
          <w:bCs/>
        </w:rPr>
        <w:t xml:space="preserve">that the project is in a position to bid for, an outcome for </w:t>
      </w:r>
      <w:proofErr w:type="gramStart"/>
      <w:r w:rsidR="00B05C46" w:rsidRPr="004F39E7">
        <w:rPr>
          <w:bCs/>
        </w:rPr>
        <w:t xml:space="preserve">the </w:t>
      </w:r>
      <w:r w:rsidRPr="004F39E7">
        <w:rPr>
          <w:bCs/>
        </w:rPr>
        <w:t xml:space="preserve"> pilot</w:t>
      </w:r>
      <w:proofErr w:type="gramEnd"/>
      <w:r w:rsidRPr="004F39E7">
        <w:rPr>
          <w:bCs/>
        </w:rPr>
        <w:t xml:space="preserve"> </w:t>
      </w:r>
      <w:r w:rsidR="00B05C46" w:rsidRPr="004F39E7">
        <w:rPr>
          <w:bCs/>
        </w:rPr>
        <w:t>is to</w:t>
      </w:r>
      <w:r w:rsidRPr="004F39E7">
        <w:rPr>
          <w:bCs/>
        </w:rPr>
        <w:t xml:space="preserve"> explore the viability of constructing a sustainable business model based on each individual pop up.</w:t>
      </w:r>
    </w:p>
    <w:p w14:paraId="11297B38" w14:textId="04745F1E" w:rsidR="00F765B4" w:rsidRPr="004F39E7" w:rsidRDefault="00F765B4">
      <w:pPr>
        <w:rPr>
          <w:bCs/>
        </w:rPr>
      </w:pPr>
      <w:r w:rsidRPr="004F39E7">
        <w:rPr>
          <w:bCs/>
        </w:rPr>
        <w:t>Potential Areas of income could include;</w:t>
      </w:r>
    </w:p>
    <w:p w14:paraId="4E4DA32E" w14:textId="42D32171" w:rsidR="00B05C46" w:rsidRPr="004F39E7" w:rsidRDefault="00B05C46" w:rsidP="00B05C46">
      <w:pPr>
        <w:pStyle w:val="ListParagraph"/>
        <w:numPr>
          <w:ilvl w:val="0"/>
          <w:numId w:val="17"/>
        </w:numPr>
        <w:ind w:hanging="720"/>
        <w:rPr>
          <w:bCs/>
        </w:rPr>
      </w:pPr>
      <w:r w:rsidRPr="004F39E7">
        <w:rPr>
          <w:bCs/>
        </w:rPr>
        <w:t xml:space="preserve">Partnership funding </w:t>
      </w:r>
    </w:p>
    <w:p w14:paraId="3E0943A1" w14:textId="5F1A8381" w:rsidR="00F765B4" w:rsidRPr="004F39E7" w:rsidRDefault="00F765B4" w:rsidP="00B05C46">
      <w:pPr>
        <w:pStyle w:val="ListParagraph"/>
        <w:numPr>
          <w:ilvl w:val="0"/>
          <w:numId w:val="17"/>
        </w:numPr>
        <w:ind w:hanging="720"/>
        <w:rPr>
          <w:bCs/>
        </w:rPr>
      </w:pPr>
      <w:r w:rsidRPr="004F39E7">
        <w:rPr>
          <w:bCs/>
        </w:rPr>
        <w:t>Sponsorship Modelling</w:t>
      </w:r>
    </w:p>
    <w:p w14:paraId="6BD87AA1" w14:textId="2D0A1340" w:rsidR="00F765B4" w:rsidRPr="004F39E7" w:rsidRDefault="00B05C46" w:rsidP="00B05C46">
      <w:pPr>
        <w:pStyle w:val="ListParagraph"/>
        <w:numPr>
          <w:ilvl w:val="0"/>
          <w:numId w:val="17"/>
        </w:numPr>
        <w:ind w:hanging="720"/>
        <w:rPr>
          <w:bCs/>
        </w:rPr>
      </w:pPr>
      <w:r w:rsidRPr="004F39E7">
        <w:rPr>
          <w:bCs/>
        </w:rPr>
        <w:t xml:space="preserve">Commercial ‘pop up’ </w:t>
      </w:r>
      <w:r w:rsidR="00F765B4" w:rsidRPr="004F39E7">
        <w:rPr>
          <w:bCs/>
        </w:rPr>
        <w:t xml:space="preserve"> </w:t>
      </w:r>
      <w:r w:rsidRPr="004F39E7">
        <w:rPr>
          <w:bCs/>
        </w:rPr>
        <w:t>rental</w:t>
      </w:r>
    </w:p>
    <w:p w14:paraId="712D9EC8" w14:textId="77777777" w:rsidR="004F39E7" w:rsidRPr="004F39E7" w:rsidRDefault="004F39E7" w:rsidP="004F39E7">
      <w:pPr>
        <w:pStyle w:val="ListParagraph"/>
        <w:numPr>
          <w:ilvl w:val="1"/>
          <w:numId w:val="17"/>
        </w:numPr>
        <w:ind w:left="1276" w:hanging="567"/>
        <w:rPr>
          <w:bCs/>
        </w:rPr>
      </w:pPr>
      <w:r w:rsidRPr="004F39E7">
        <w:rPr>
          <w:bCs/>
        </w:rPr>
        <w:t>Retail Spaces</w:t>
      </w:r>
    </w:p>
    <w:p w14:paraId="7E31581D" w14:textId="77777777" w:rsidR="004F39E7" w:rsidRPr="004F39E7" w:rsidRDefault="004F39E7" w:rsidP="004F39E7">
      <w:pPr>
        <w:pStyle w:val="ListParagraph"/>
        <w:numPr>
          <w:ilvl w:val="1"/>
          <w:numId w:val="17"/>
        </w:numPr>
        <w:ind w:left="1276" w:hanging="567"/>
        <w:rPr>
          <w:bCs/>
        </w:rPr>
      </w:pPr>
      <w:r w:rsidRPr="004F39E7">
        <w:rPr>
          <w:bCs/>
        </w:rPr>
        <w:t>F&amp;B Vendors</w:t>
      </w:r>
    </w:p>
    <w:p w14:paraId="7691401C" w14:textId="055B09F8" w:rsidR="004F39E7" w:rsidRPr="004F39E7" w:rsidRDefault="004F39E7" w:rsidP="004F39E7">
      <w:pPr>
        <w:pStyle w:val="ListParagraph"/>
        <w:numPr>
          <w:ilvl w:val="1"/>
          <w:numId w:val="17"/>
        </w:numPr>
        <w:ind w:left="1276" w:hanging="567"/>
        <w:rPr>
          <w:bCs/>
        </w:rPr>
      </w:pPr>
      <w:r w:rsidRPr="004F39E7">
        <w:rPr>
          <w:bCs/>
        </w:rPr>
        <w:t>Business development</w:t>
      </w:r>
    </w:p>
    <w:p w14:paraId="6221086B" w14:textId="626C0C7C" w:rsidR="00F765B4" w:rsidRPr="004F39E7" w:rsidRDefault="00F765B4" w:rsidP="00B05C46">
      <w:pPr>
        <w:pStyle w:val="ListParagraph"/>
        <w:numPr>
          <w:ilvl w:val="0"/>
          <w:numId w:val="17"/>
        </w:numPr>
        <w:ind w:hanging="720"/>
        <w:rPr>
          <w:bCs/>
        </w:rPr>
      </w:pPr>
      <w:r w:rsidRPr="004F39E7">
        <w:rPr>
          <w:bCs/>
        </w:rPr>
        <w:t>Usage Hire</w:t>
      </w:r>
    </w:p>
    <w:p w14:paraId="5563FDFB" w14:textId="77777777" w:rsidR="004F39E7" w:rsidRPr="004F39E7" w:rsidRDefault="00B05C46" w:rsidP="004F39E7">
      <w:pPr>
        <w:pStyle w:val="ListParagraph"/>
        <w:numPr>
          <w:ilvl w:val="1"/>
          <w:numId w:val="17"/>
        </w:numPr>
        <w:ind w:hanging="731"/>
        <w:rPr>
          <w:bCs/>
        </w:rPr>
      </w:pPr>
      <w:r w:rsidRPr="004F39E7">
        <w:rPr>
          <w:bCs/>
        </w:rPr>
        <w:t xml:space="preserve">Hire out spaces </w:t>
      </w:r>
      <w:r w:rsidRPr="004F39E7">
        <w:t>(look at Peckham levels for rate examples)</w:t>
      </w:r>
    </w:p>
    <w:p w14:paraId="762E1920" w14:textId="77777777" w:rsidR="004F39E7" w:rsidRPr="004F39E7" w:rsidRDefault="006334F6" w:rsidP="004F39E7">
      <w:pPr>
        <w:pStyle w:val="ListParagraph"/>
        <w:numPr>
          <w:ilvl w:val="1"/>
          <w:numId w:val="17"/>
        </w:numPr>
        <w:ind w:hanging="731"/>
        <w:rPr>
          <w:bCs/>
        </w:rPr>
      </w:pPr>
      <w:r w:rsidRPr="004F39E7">
        <w:rPr>
          <w:bCs/>
        </w:rPr>
        <w:t xml:space="preserve">Corporate Events in </w:t>
      </w:r>
      <w:r w:rsidR="00E734DF" w:rsidRPr="004F39E7">
        <w:rPr>
          <w:bCs/>
        </w:rPr>
        <w:t xml:space="preserve">the </w:t>
      </w:r>
      <w:r w:rsidRPr="004F39E7">
        <w:rPr>
          <w:bCs/>
        </w:rPr>
        <w:t>Studio</w:t>
      </w:r>
    </w:p>
    <w:p w14:paraId="58342C3C" w14:textId="77777777" w:rsidR="004F39E7" w:rsidRPr="004F39E7" w:rsidRDefault="006334F6" w:rsidP="004F39E7">
      <w:pPr>
        <w:pStyle w:val="ListParagraph"/>
        <w:numPr>
          <w:ilvl w:val="1"/>
          <w:numId w:val="17"/>
        </w:numPr>
        <w:ind w:hanging="731"/>
        <w:rPr>
          <w:bCs/>
        </w:rPr>
      </w:pPr>
      <w:r w:rsidRPr="004F39E7">
        <w:rPr>
          <w:bCs/>
        </w:rPr>
        <w:t xml:space="preserve">Corporate Workshops in </w:t>
      </w:r>
      <w:r w:rsidR="00E734DF" w:rsidRPr="004F39E7">
        <w:rPr>
          <w:bCs/>
        </w:rPr>
        <w:t xml:space="preserve">the </w:t>
      </w:r>
      <w:r w:rsidRPr="004F39E7">
        <w:rPr>
          <w:bCs/>
        </w:rPr>
        <w:t>Studio</w:t>
      </w:r>
    </w:p>
    <w:p w14:paraId="66F65F65" w14:textId="6491D80E" w:rsidR="006334F6" w:rsidRPr="004F39E7" w:rsidRDefault="006334F6" w:rsidP="004F39E7">
      <w:pPr>
        <w:pStyle w:val="ListParagraph"/>
        <w:numPr>
          <w:ilvl w:val="1"/>
          <w:numId w:val="17"/>
        </w:numPr>
        <w:ind w:hanging="731"/>
        <w:rPr>
          <w:bCs/>
        </w:rPr>
      </w:pPr>
      <w:r w:rsidRPr="004F39E7">
        <w:rPr>
          <w:bCs/>
        </w:rPr>
        <w:t>Artist Studio Slots in Makerspace</w:t>
      </w:r>
    </w:p>
    <w:p w14:paraId="17D47D0A" w14:textId="3CF7E0AB" w:rsidR="00906C11" w:rsidRDefault="00906C11">
      <w:pPr>
        <w:rPr>
          <w:b/>
        </w:rPr>
      </w:pPr>
      <w:r w:rsidRPr="00906C11">
        <w:rPr>
          <w:b/>
        </w:rPr>
        <w:t>Review, Completion and Evaluation Criteria</w:t>
      </w:r>
    </w:p>
    <w:p w14:paraId="0C72D5C5" w14:textId="77777777" w:rsidR="001B5B97" w:rsidRPr="00FB284A" w:rsidRDefault="001B5B97">
      <w:pPr>
        <w:rPr>
          <w:b/>
        </w:rPr>
      </w:pPr>
    </w:p>
    <w:p w14:paraId="4DCDAACB" w14:textId="77777777" w:rsidR="00847A2F" w:rsidRPr="00847A2F" w:rsidRDefault="00847A2F">
      <w:pPr>
        <w:rPr>
          <w:b/>
        </w:rPr>
      </w:pPr>
      <w:r w:rsidRPr="00847A2F">
        <w:rPr>
          <w:b/>
        </w:rPr>
        <w:t>Resources</w:t>
      </w:r>
    </w:p>
    <w:p w14:paraId="7EBCC4DF" w14:textId="5F6A8655" w:rsidR="004F39E7" w:rsidRDefault="004F39E7">
      <w:r w:rsidRPr="004F39E7">
        <w:t>CERTF L</w:t>
      </w:r>
      <w:r w:rsidR="00EB437A">
        <w:t>ead</w:t>
      </w:r>
      <w:r w:rsidRPr="004F39E7">
        <w:tab/>
      </w:r>
      <w:r w:rsidRPr="004F39E7">
        <w:tab/>
      </w:r>
      <w:r w:rsidRPr="004F39E7">
        <w:tab/>
      </w:r>
      <w:r w:rsidRPr="004F39E7">
        <w:tab/>
        <w:t>Ian George</w:t>
      </w:r>
    </w:p>
    <w:p w14:paraId="2B51DD6E" w14:textId="15D07147" w:rsidR="00906C11" w:rsidRDefault="004F39E7" w:rsidP="00906C11">
      <w:r>
        <w:t>CBC</w:t>
      </w:r>
      <w:r w:rsidR="00906C11">
        <w:t xml:space="preserve"> Lead</w:t>
      </w:r>
      <w:r w:rsidR="00847A2F">
        <w:tab/>
      </w:r>
      <w:r w:rsidR="00847A2F">
        <w:tab/>
      </w:r>
      <w:r w:rsidR="00906C11">
        <w:tab/>
      </w:r>
      <w:r w:rsidR="00462F9B">
        <w:tab/>
      </w:r>
      <w:r w:rsidR="00906C11">
        <w:t>Tracey Crews (CBC project sponsor)</w:t>
      </w:r>
    </w:p>
    <w:p w14:paraId="7EA88FE3" w14:textId="77777777" w:rsidR="00906C11" w:rsidRDefault="00906C11">
      <w:r>
        <w:t xml:space="preserve">Cabinet </w:t>
      </w:r>
      <w:proofErr w:type="gramStart"/>
      <w:r>
        <w:t>portfolio lead</w:t>
      </w:r>
      <w:proofErr w:type="gramEnd"/>
      <w:r>
        <w:tab/>
      </w:r>
      <w:r>
        <w:tab/>
      </w:r>
      <w:r w:rsidR="00462F9B">
        <w:tab/>
      </w:r>
      <w:r>
        <w:t>Cllr Victoria Atherstone</w:t>
      </w:r>
    </w:p>
    <w:p w14:paraId="23A4E9E2" w14:textId="77777777" w:rsidR="00462F9B" w:rsidRDefault="00462F9B">
      <w:r>
        <w:t>CERTF Counter Culture Sub Group</w:t>
      </w:r>
      <w:r>
        <w:tab/>
        <w:t>Joe Roberts/Antonia Shield</w:t>
      </w:r>
    </w:p>
    <w:p w14:paraId="08AD44AB" w14:textId="77777777" w:rsidR="00847A2F" w:rsidRDefault="00462F9B">
      <w:r>
        <w:t>Pilot project l</w:t>
      </w:r>
      <w:r w:rsidR="00906C11">
        <w:t>andlord</w:t>
      </w:r>
      <w:r w:rsidR="00847A2F">
        <w:tab/>
      </w:r>
      <w:r w:rsidR="00847A2F">
        <w:tab/>
      </w:r>
      <w:r>
        <w:tab/>
      </w:r>
      <w:proofErr w:type="spellStart"/>
      <w:r>
        <w:t>xxxxx</w:t>
      </w:r>
      <w:proofErr w:type="spellEnd"/>
    </w:p>
    <w:p w14:paraId="7A30051F" w14:textId="77777777" w:rsidR="00847A2F" w:rsidRDefault="00847A2F" w:rsidP="00847A2F">
      <w:pPr>
        <w:pStyle w:val="NormalWeb"/>
        <w:spacing w:before="0" w:beforeAutospacing="0" w:after="0" w:afterAutospacing="0"/>
      </w:pPr>
    </w:p>
    <w:p w14:paraId="1F416E86" w14:textId="77777777" w:rsidR="00847A2F" w:rsidRPr="00FB284A" w:rsidRDefault="00847A2F">
      <w:pPr>
        <w:rPr>
          <w:b/>
        </w:rPr>
      </w:pPr>
      <w:r w:rsidRPr="00FB284A">
        <w:rPr>
          <w:b/>
        </w:rPr>
        <w:t>Project Governance</w:t>
      </w:r>
    </w:p>
    <w:p w14:paraId="2C39D2B0" w14:textId="77777777" w:rsidR="00847A2F" w:rsidRDefault="00906C11">
      <w:r>
        <w:t>C</w:t>
      </w:r>
      <w:r w:rsidR="00FB284A">
        <w:t>ore project team</w:t>
      </w:r>
    </w:p>
    <w:p w14:paraId="415472C5" w14:textId="77777777" w:rsidR="00FB284A" w:rsidRDefault="00FB284A">
      <w:r>
        <w:t>Change controls – to be approved by project sponsor</w:t>
      </w:r>
    </w:p>
    <w:p w14:paraId="5FC3B852" w14:textId="77777777" w:rsidR="00FB284A" w:rsidRDefault="00906C11">
      <w:r>
        <w:t>6 weekly</w:t>
      </w:r>
      <w:r w:rsidR="00FB284A">
        <w:t xml:space="preserve"> highlight reports </w:t>
      </w:r>
      <w:r>
        <w:t>to CERTF</w:t>
      </w:r>
    </w:p>
    <w:p w14:paraId="728309F0" w14:textId="77777777" w:rsidR="00FB284A" w:rsidRDefault="00FB284A">
      <w:r>
        <w:lastRenderedPageBreak/>
        <w:t>Project status maintained on Clearview by project manger</w:t>
      </w:r>
    </w:p>
    <w:p w14:paraId="28212876" w14:textId="77777777" w:rsidR="00FB284A" w:rsidRDefault="00FB284A">
      <w:r>
        <w:t xml:space="preserve">Documents stored in </w:t>
      </w:r>
      <w:r w:rsidR="00906C11">
        <w:t xml:space="preserve">CBC </w:t>
      </w:r>
      <w:r>
        <w:t>S drive location</w:t>
      </w:r>
    </w:p>
    <w:sectPr w:rsidR="00FB284A" w:rsidSect="00211A8B">
      <w:footerReference w:type="default" r:id="rId12"/>
      <w:pgSz w:w="11906" w:h="16838"/>
      <w:pgMar w:top="851" w:right="1440" w:bottom="99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6B2A4" w14:textId="77777777" w:rsidR="005B58DD" w:rsidRDefault="005B58DD" w:rsidP="00D95447">
      <w:pPr>
        <w:spacing w:after="0" w:line="240" w:lineRule="auto"/>
      </w:pPr>
      <w:r>
        <w:separator/>
      </w:r>
    </w:p>
  </w:endnote>
  <w:endnote w:type="continuationSeparator" w:id="0">
    <w:p w14:paraId="17802A0D" w14:textId="77777777" w:rsidR="005B58DD" w:rsidRDefault="005B58DD" w:rsidP="00D95447">
      <w:pPr>
        <w:spacing w:after="0" w:line="240" w:lineRule="auto"/>
      </w:pPr>
      <w:r>
        <w:continuationSeparator/>
      </w:r>
    </w:p>
  </w:endnote>
  <w:endnote w:type="continuationNotice" w:id="1">
    <w:p w14:paraId="0823165F" w14:textId="77777777" w:rsidR="005B58DD" w:rsidRDefault="005B58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16562" w14:textId="6238E0B1" w:rsidR="00D95447" w:rsidRPr="00D95447" w:rsidRDefault="00906C11">
    <w:pPr>
      <w:pStyle w:val="Footer"/>
      <w:pBdr>
        <w:top w:val="thinThickSmallGap" w:sz="24" w:space="1" w:color="622423" w:themeColor="accent2" w:themeShade="7F"/>
      </w:pBdr>
      <w:rPr>
        <w:rFonts w:eastAsiaTheme="majorEastAsia" w:cstheme="minorHAnsi"/>
        <w:sz w:val="16"/>
        <w:szCs w:val="16"/>
      </w:rPr>
    </w:pPr>
    <w:r>
      <w:rPr>
        <w:rFonts w:eastAsiaTheme="majorEastAsia" w:cstheme="minorHAnsi"/>
        <w:sz w:val="16"/>
        <w:szCs w:val="16"/>
      </w:rPr>
      <w:t xml:space="preserve">Counter Culture PID </w:t>
    </w:r>
    <w:r>
      <w:rPr>
        <w:rFonts w:eastAsiaTheme="majorEastAsia" w:cstheme="minorHAnsi"/>
        <w:sz w:val="16"/>
        <w:szCs w:val="16"/>
      </w:rPr>
      <w:fldChar w:fldCharType="begin"/>
    </w:r>
    <w:r>
      <w:rPr>
        <w:rFonts w:eastAsiaTheme="majorEastAsia" w:cstheme="minorHAnsi"/>
        <w:sz w:val="16"/>
        <w:szCs w:val="16"/>
      </w:rPr>
      <w:instrText xml:space="preserve"> DATE \@ "dd/MM/yyyy" </w:instrText>
    </w:r>
    <w:r>
      <w:rPr>
        <w:rFonts w:eastAsiaTheme="majorEastAsia" w:cstheme="minorHAnsi"/>
        <w:sz w:val="16"/>
        <w:szCs w:val="16"/>
      </w:rPr>
      <w:fldChar w:fldCharType="separate"/>
    </w:r>
    <w:r w:rsidR="003D6A89">
      <w:rPr>
        <w:rFonts w:eastAsiaTheme="majorEastAsia" w:cstheme="minorHAnsi"/>
        <w:noProof/>
        <w:sz w:val="16"/>
        <w:szCs w:val="16"/>
      </w:rPr>
      <w:t>12/01/2021</w:t>
    </w:r>
    <w:r>
      <w:rPr>
        <w:rFonts w:eastAsiaTheme="majorEastAsia" w:cstheme="minorHAnsi"/>
        <w:sz w:val="16"/>
        <w:szCs w:val="16"/>
      </w:rPr>
      <w:fldChar w:fldCharType="end"/>
    </w:r>
    <w:r w:rsidR="00D95447" w:rsidRPr="00D95447">
      <w:rPr>
        <w:rFonts w:eastAsiaTheme="majorEastAsia" w:cstheme="minorHAnsi"/>
        <w:sz w:val="16"/>
        <w:szCs w:val="16"/>
      </w:rPr>
      <w:ptab w:relativeTo="margin" w:alignment="right" w:leader="none"/>
    </w:r>
    <w:r w:rsidR="00D95447" w:rsidRPr="00D95447">
      <w:rPr>
        <w:rFonts w:eastAsiaTheme="majorEastAsia" w:cstheme="minorHAnsi"/>
        <w:sz w:val="16"/>
        <w:szCs w:val="16"/>
      </w:rPr>
      <w:t xml:space="preserve">Page </w:t>
    </w:r>
    <w:r w:rsidR="00D95447" w:rsidRPr="00D95447">
      <w:rPr>
        <w:rFonts w:eastAsiaTheme="minorEastAsia" w:cstheme="minorHAnsi"/>
        <w:sz w:val="16"/>
        <w:szCs w:val="16"/>
      </w:rPr>
      <w:fldChar w:fldCharType="begin"/>
    </w:r>
    <w:r w:rsidR="00D95447" w:rsidRPr="00D95447">
      <w:rPr>
        <w:rFonts w:cstheme="minorHAnsi"/>
        <w:sz w:val="16"/>
        <w:szCs w:val="16"/>
      </w:rPr>
      <w:instrText xml:space="preserve"> PAGE   \* MERGEFORMAT </w:instrText>
    </w:r>
    <w:r w:rsidR="00D95447" w:rsidRPr="00D95447">
      <w:rPr>
        <w:rFonts w:eastAsiaTheme="minorEastAsia" w:cstheme="minorHAnsi"/>
        <w:sz w:val="16"/>
        <w:szCs w:val="16"/>
      </w:rPr>
      <w:fldChar w:fldCharType="separate"/>
    </w:r>
    <w:r w:rsidR="003D6A89" w:rsidRPr="003D6A89">
      <w:rPr>
        <w:rFonts w:eastAsiaTheme="majorEastAsia" w:cstheme="minorHAnsi"/>
        <w:noProof/>
        <w:sz w:val="16"/>
        <w:szCs w:val="16"/>
      </w:rPr>
      <w:t>7</w:t>
    </w:r>
    <w:r w:rsidR="00D95447" w:rsidRPr="00D95447">
      <w:rPr>
        <w:rFonts w:eastAsiaTheme="majorEastAsia" w:cstheme="minorHAns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9CE59" w14:textId="77777777" w:rsidR="005B58DD" w:rsidRDefault="005B58DD" w:rsidP="00D95447">
      <w:pPr>
        <w:spacing w:after="0" w:line="240" w:lineRule="auto"/>
      </w:pPr>
      <w:r>
        <w:separator/>
      </w:r>
    </w:p>
  </w:footnote>
  <w:footnote w:type="continuationSeparator" w:id="0">
    <w:p w14:paraId="02C4CECC" w14:textId="77777777" w:rsidR="005B58DD" w:rsidRDefault="005B58DD" w:rsidP="00D95447">
      <w:pPr>
        <w:spacing w:after="0" w:line="240" w:lineRule="auto"/>
      </w:pPr>
      <w:r>
        <w:continuationSeparator/>
      </w:r>
    </w:p>
  </w:footnote>
  <w:footnote w:type="continuationNotice" w:id="1">
    <w:p w14:paraId="0E50D6B7" w14:textId="77777777" w:rsidR="005B58DD" w:rsidRDefault="005B58D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A62"/>
    <w:multiLevelType w:val="hybridMultilevel"/>
    <w:tmpl w:val="5C30F59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993" w:hanging="360"/>
      </w:pPr>
      <w:rPr>
        <w:rFonts w:ascii="Courier New" w:hAnsi="Courier New" w:cs="Courier New" w:hint="default"/>
      </w:rPr>
    </w:lvl>
    <w:lvl w:ilvl="2" w:tplc="08090005" w:tentative="1">
      <w:start w:val="1"/>
      <w:numFmt w:val="bullet"/>
      <w:lvlText w:val=""/>
      <w:lvlJc w:val="left"/>
      <w:pPr>
        <w:ind w:left="1713" w:hanging="360"/>
      </w:pPr>
      <w:rPr>
        <w:rFonts w:ascii="Wingdings" w:hAnsi="Wingdings" w:hint="default"/>
      </w:rPr>
    </w:lvl>
    <w:lvl w:ilvl="3" w:tplc="08090001" w:tentative="1">
      <w:start w:val="1"/>
      <w:numFmt w:val="bullet"/>
      <w:lvlText w:val=""/>
      <w:lvlJc w:val="left"/>
      <w:pPr>
        <w:ind w:left="2433" w:hanging="360"/>
      </w:pPr>
      <w:rPr>
        <w:rFonts w:ascii="Symbol" w:hAnsi="Symbol" w:hint="default"/>
      </w:rPr>
    </w:lvl>
    <w:lvl w:ilvl="4" w:tplc="08090003" w:tentative="1">
      <w:start w:val="1"/>
      <w:numFmt w:val="bullet"/>
      <w:lvlText w:val="o"/>
      <w:lvlJc w:val="left"/>
      <w:pPr>
        <w:ind w:left="3153" w:hanging="360"/>
      </w:pPr>
      <w:rPr>
        <w:rFonts w:ascii="Courier New" w:hAnsi="Courier New" w:cs="Courier New" w:hint="default"/>
      </w:rPr>
    </w:lvl>
    <w:lvl w:ilvl="5" w:tplc="08090005" w:tentative="1">
      <w:start w:val="1"/>
      <w:numFmt w:val="bullet"/>
      <w:lvlText w:val=""/>
      <w:lvlJc w:val="left"/>
      <w:pPr>
        <w:ind w:left="3873" w:hanging="360"/>
      </w:pPr>
      <w:rPr>
        <w:rFonts w:ascii="Wingdings" w:hAnsi="Wingdings" w:hint="default"/>
      </w:rPr>
    </w:lvl>
    <w:lvl w:ilvl="6" w:tplc="08090001" w:tentative="1">
      <w:start w:val="1"/>
      <w:numFmt w:val="bullet"/>
      <w:lvlText w:val=""/>
      <w:lvlJc w:val="left"/>
      <w:pPr>
        <w:ind w:left="4593" w:hanging="360"/>
      </w:pPr>
      <w:rPr>
        <w:rFonts w:ascii="Symbol" w:hAnsi="Symbol" w:hint="default"/>
      </w:rPr>
    </w:lvl>
    <w:lvl w:ilvl="7" w:tplc="08090003" w:tentative="1">
      <w:start w:val="1"/>
      <w:numFmt w:val="bullet"/>
      <w:lvlText w:val="o"/>
      <w:lvlJc w:val="left"/>
      <w:pPr>
        <w:ind w:left="5313" w:hanging="360"/>
      </w:pPr>
      <w:rPr>
        <w:rFonts w:ascii="Courier New" w:hAnsi="Courier New" w:cs="Courier New" w:hint="default"/>
      </w:rPr>
    </w:lvl>
    <w:lvl w:ilvl="8" w:tplc="08090005" w:tentative="1">
      <w:start w:val="1"/>
      <w:numFmt w:val="bullet"/>
      <w:lvlText w:val=""/>
      <w:lvlJc w:val="left"/>
      <w:pPr>
        <w:ind w:left="6033" w:hanging="360"/>
      </w:pPr>
      <w:rPr>
        <w:rFonts w:ascii="Wingdings" w:hAnsi="Wingdings" w:hint="default"/>
      </w:rPr>
    </w:lvl>
  </w:abstractNum>
  <w:abstractNum w:abstractNumId="1">
    <w:nsid w:val="09BF10D4"/>
    <w:multiLevelType w:val="multilevel"/>
    <w:tmpl w:val="9508D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0D4437D"/>
    <w:multiLevelType w:val="hybridMultilevel"/>
    <w:tmpl w:val="FF342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29581B"/>
    <w:multiLevelType w:val="hybridMultilevel"/>
    <w:tmpl w:val="9152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7958E1"/>
    <w:multiLevelType w:val="hybridMultilevel"/>
    <w:tmpl w:val="0E62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6F3A11"/>
    <w:multiLevelType w:val="multilevel"/>
    <w:tmpl w:val="D8A60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51115B2"/>
    <w:multiLevelType w:val="hybridMultilevel"/>
    <w:tmpl w:val="1592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866BDA"/>
    <w:multiLevelType w:val="hybridMultilevel"/>
    <w:tmpl w:val="64080236"/>
    <w:lvl w:ilvl="0" w:tplc="658C114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8811E9"/>
    <w:multiLevelType w:val="hybridMultilevel"/>
    <w:tmpl w:val="AFBE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647305"/>
    <w:multiLevelType w:val="hybridMultilevel"/>
    <w:tmpl w:val="C444E13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nsid w:val="46AB52D0"/>
    <w:multiLevelType w:val="multilevel"/>
    <w:tmpl w:val="6F0808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7652B2D"/>
    <w:multiLevelType w:val="hybridMultilevel"/>
    <w:tmpl w:val="0E50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4C049D"/>
    <w:multiLevelType w:val="hybridMultilevel"/>
    <w:tmpl w:val="4B626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A05C81"/>
    <w:multiLevelType w:val="hybridMultilevel"/>
    <w:tmpl w:val="FF0882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4D61A2"/>
    <w:multiLevelType w:val="hybridMultilevel"/>
    <w:tmpl w:val="89A0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1724CC"/>
    <w:multiLevelType w:val="hybridMultilevel"/>
    <w:tmpl w:val="62328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5251B99"/>
    <w:multiLevelType w:val="hybridMultilevel"/>
    <w:tmpl w:val="34E4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2446BD"/>
    <w:multiLevelType w:val="hybridMultilevel"/>
    <w:tmpl w:val="219A6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871046"/>
    <w:multiLevelType w:val="hybridMultilevel"/>
    <w:tmpl w:val="ECFC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EA3411"/>
    <w:multiLevelType w:val="hybridMultilevel"/>
    <w:tmpl w:val="7DE43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1A5653"/>
    <w:multiLevelType w:val="hybridMultilevel"/>
    <w:tmpl w:val="52A4C7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4840A1"/>
    <w:multiLevelType w:val="multilevel"/>
    <w:tmpl w:val="3D044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18"/>
  </w:num>
  <w:num w:numId="4">
    <w:abstractNumId w:val="13"/>
  </w:num>
  <w:num w:numId="5">
    <w:abstractNumId w:val="12"/>
  </w:num>
  <w:num w:numId="6">
    <w:abstractNumId w:val="4"/>
  </w:num>
  <w:num w:numId="7">
    <w:abstractNumId w:val="20"/>
  </w:num>
  <w:num w:numId="8">
    <w:abstractNumId w:val="16"/>
  </w:num>
  <w:num w:numId="9">
    <w:abstractNumId w:val="11"/>
  </w:num>
  <w:num w:numId="10">
    <w:abstractNumId w:val="6"/>
  </w:num>
  <w:num w:numId="11">
    <w:abstractNumId w:val="17"/>
  </w:num>
  <w:num w:numId="12">
    <w:abstractNumId w:val="2"/>
  </w:num>
  <w:num w:numId="13">
    <w:abstractNumId w:val="3"/>
  </w:num>
  <w:num w:numId="14">
    <w:abstractNumId w:val="8"/>
  </w:num>
  <w:num w:numId="15">
    <w:abstractNumId w:val="7"/>
  </w:num>
  <w:num w:numId="16">
    <w:abstractNumId w:val="15"/>
  </w:num>
  <w:num w:numId="17">
    <w:abstractNumId w:val="19"/>
  </w:num>
  <w:num w:numId="18">
    <w:abstractNumId w:val="1"/>
  </w:num>
  <w:num w:numId="19">
    <w:abstractNumId w:val="10"/>
  </w:num>
  <w:num w:numId="20">
    <w:abstractNumId w:val="5"/>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2F"/>
    <w:rsid w:val="00064DBB"/>
    <w:rsid w:val="000665BF"/>
    <w:rsid w:val="00090EFD"/>
    <w:rsid w:val="001070A8"/>
    <w:rsid w:val="001B59D2"/>
    <w:rsid w:val="001B5B97"/>
    <w:rsid w:val="001C4CEF"/>
    <w:rsid w:val="00211A8B"/>
    <w:rsid w:val="0021452A"/>
    <w:rsid w:val="00314AD2"/>
    <w:rsid w:val="00366E14"/>
    <w:rsid w:val="0037654C"/>
    <w:rsid w:val="003D6A89"/>
    <w:rsid w:val="003F02ED"/>
    <w:rsid w:val="004621A4"/>
    <w:rsid w:val="00462F9B"/>
    <w:rsid w:val="004B1657"/>
    <w:rsid w:val="004D4672"/>
    <w:rsid w:val="004D53A4"/>
    <w:rsid w:val="004F39E7"/>
    <w:rsid w:val="00553EDB"/>
    <w:rsid w:val="00555A89"/>
    <w:rsid w:val="005568A7"/>
    <w:rsid w:val="005654C8"/>
    <w:rsid w:val="005A3027"/>
    <w:rsid w:val="005B58DD"/>
    <w:rsid w:val="006334F6"/>
    <w:rsid w:val="00636A8E"/>
    <w:rsid w:val="0063734C"/>
    <w:rsid w:val="00654369"/>
    <w:rsid w:val="00673222"/>
    <w:rsid w:val="006926F1"/>
    <w:rsid w:val="006C7C00"/>
    <w:rsid w:val="00733020"/>
    <w:rsid w:val="007A4AC4"/>
    <w:rsid w:val="007A6C26"/>
    <w:rsid w:val="0080644F"/>
    <w:rsid w:val="008178D5"/>
    <w:rsid w:val="008210D1"/>
    <w:rsid w:val="0082691D"/>
    <w:rsid w:val="0084151E"/>
    <w:rsid w:val="00847A2F"/>
    <w:rsid w:val="00850B14"/>
    <w:rsid w:val="008B69F0"/>
    <w:rsid w:val="00906C11"/>
    <w:rsid w:val="00915B78"/>
    <w:rsid w:val="00932551"/>
    <w:rsid w:val="009F370F"/>
    <w:rsid w:val="00A16A64"/>
    <w:rsid w:val="00A42324"/>
    <w:rsid w:val="00A758F8"/>
    <w:rsid w:val="00AD6B7C"/>
    <w:rsid w:val="00B05C46"/>
    <w:rsid w:val="00B11C49"/>
    <w:rsid w:val="00B1322F"/>
    <w:rsid w:val="00B335B9"/>
    <w:rsid w:val="00B74ED5"/>
    <w:rsid w:val="00BC64F4"/>
    <w:rsid w:val="00C04D4F"/>
    <w:rsid w:val="00C1460A"/>
    <w:rsid w:val="00C43155"/>
    <w:rsid w:val="00C729E4"/>
    <w:rsid w:val="00C82914"/>
    <w:rsid w:val="00CA130A"/>
    <w:rsid w:val="00CA6F08"/>
    <w:rsid w:val="00CD0E56"/>
    <w:rsid w:val="00D033CF"/>
    <w:rsid w:val="00D41B1D"/>
    <w:rsid w:val="00D95447"/>
    <w:rsid w:val="00DA2AA3"/>
    <w:rsid w:val="00DE5934"/>
    <w:rsid w:val="00E02311"/>
    <w:rsid w:val="00E13D19"/>
    <w:rsid w:val="00E5325D"/>
    <w:rsid w:val="00E572D8"/>
    <w:rsid w:val="00E734DF"/>
    <w:rsid w:val="00E81B4A"/>
    <w:rsid w:val="00EB437A"/>
    <w:rsid w:val="00F51BC9"/>
    <w:rsid w:val="00F765B4"/>
    <w:rsid w:val="00F83686"/>
    <w:rsid w:val="00FB284A"/>
    <w:rsid w:val="00FD5DCE"/>
    <w:rsid w:val="00FF3F21"/>
    <w:rsid w:val="00FF7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7A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47A2F"/>
    <w:rPr>
      <w:sz w:val="16"/>
      <w:szCs w:val="16"/>
    </w:rPr>
  </w:style>
  <w:style w:type="paragraph" w:styleId="CommentText">
    <w:name w:val="annotation text"/>
    <w:basedOn w:val="Normal"/>
    <w:link w:val="CommentTextChar"/>
    <w:uiPriority w:val="99"/>
    <w:semiHidden/>
    <w:unhideWhenUsed/>
    <w:rsid w:val="00847A2F"/>
    <w:pPr>
      <w:spacing w:line="240" w:lineRule="auto"/>
    </w:pPr>
    <w:rPr>
      <w:sz w:val="20"/>
      <w:szCs w:val="20"/>
    </w:rPr>
  </w:style>
  <w:style w:type="character" w:customStyle="1" w:styleId="CommentTextChar">
    <w:name w:val="Comment Text Char"/>
    <w:basedOn w:val="DefaultParagraphFont"/>
    <w:link w:val="CommentText"/>
    <w:uiPriority w:val="99"/>
    <w:semiHidden/>
    <w:rsid w:val="00847A2F"/>
    <w:rPr>
      <w:sz w:val="20"/>
      <w:szCs w:val="20"/>
    </w:rPr>
  </w:style>
  <w:style w:type="paragraph" w:styleId="CommentSubject">
    <w:name w:val="annotation subject"/>
    <w:basedOn w:val="CommentText"/>
    <w:next w:val="CommentText"/>
    <w:link w:val="CommentSubjectChar"/>
    <w:uiPriority w:val="99"/>
    <w:semiHidden/>
    <w:unhideWhenUsed/>
    <w:rsid w:val="00847A2F"/>
    <w:rPr>
      <w:b/>
      <w:bCs/>
    </w:rPr>
  </w:style>
  <w:style w:type="character" w:customStyle="1" w:styleId="CommentSubjectChar">
    <w:name w:val="Comment Subject Char"/>
    <w:basedOn w:val="CommentTextChar"/>
    <w:link w:val="CommentSubject"/>
    <w:uiPriority w:val="99"/>
    <w:semiHidden/>
    <w:rsid w:val="00847A2F"/>
    <w:rPr>
      <w:b/>
      <w:bCs/>
      <w:sz w:val="20"/>
      <w:szCs w:val="20"/>
    </w:rPr>
  </w:style>
  <w:style w:type="paragraph" w:styleId="BalloonText">
    <w:name w:val="Balloon Text"/>
    <w:basedOn w:val="Normal"/>
    <w:link w:val="BalloonTextChar"/>
    <w:uiPriority w:val="99"/>
    <w:semiHidden/>
    <w:unhideWhenUsed/>
    <w:rsid w:val="00847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2F"/>
    <w:rPr>
      <w:rFonts w:ascii="Tahoma" w:hAnsi="Tahoma" w:cs="Tahoma"/>
      <w:sz w:val="16"/>
      <w:szCs w:val="16"/>
    </w:rPr>
  </w:style>
  <w:style w:type="paragraph" w:styleId="ListParagraph">
    <w:name w:val="List Paragraph"/>
    <w:basedOn w:val="Normal"/>
    <w:uiPriority w:val="34"/>
    <w:qFormat/>
    <w:rsid w:val="00F83686"/>
    <w:pPr>
      <w:ind w:left="720"/>
      <w:contextualSpacing/>
    </w:pPr>
  </w:style>
  <w:style w:type="paragraph" w:styleId="Header">
    <w:name w:val="header"/>
    <w:basedOn w:val="Normal"/>
    <w:link w:val="HeaderChar"/>
    <w:uiPriority w:val="99"/>
    <w:unhideWhenUsed/>
    <w:rsid w:val="00D95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447"/>
  </w:style>
  <w:style w:type="paragraph" w:styleId="Footer">
    <w:name w:val="footer"/>
    <w:basedOn w:val="Normal"/>
    <w:link w:val="FooterChar"/>
    <w:uiPriority w:val="99"/>
    <w:unhideWhenUsed/>
    <w:rsid w:val="00D95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447"/>
  </w:style>
  <w:style w:type="character" w:styleId="Hyperlink">
    <w:name w:val="Hyperlink"/>
    <w:basedOn w:val="DefaultParagraphFont"/>
    <w:uiPriority w:val="99"/>
    <w:unhideWhenUsed/>
    <w:rsid w:val="008178D5"/>
    <w:rPr>
      <w:color w:val="0000FF" w:themeColor="hyperlink"/>
      <w:u w:val="single"/>
    </w:rPr>
  </w:style>
  <w:style w:type="table" w:styleId="TableGrid">
    <w:name w:val="Table Grid"/>
    <w:basedOn w:val="TableNormal"/>
    <w:uiPriority w:val="59"/>
    <w:rsid w:val="00817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7A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47A2F"/>
    <w:rPr>
      <w:sz w:val="16"/>
      <w:szCs w:val="16"/>
    </w:rPr>
  </w:style>
  <w:style w:type="paragraph" w:styleId="CommentText">
    <w:name w:val="annotation text"/>
    <w:basedOn w:val="Normal"/>
    <w:link w:val="CommentTextChar"/>
    <w:uiPriority w:val="99"/>
    <w:semiHidden/>
    <w:unhideWhenUsed/>
    <w:rsid w:val="00847A2F"/>
    <w:pPr>
      <w:spacing w:line="240" w:lineRule="auto"/>
    </w:pPr>
    <w:rPr>
      <w:sz w:val="20"/>
      <w:szCs w:val="20"/>
    </w:rPr>
  </w:style>
  <w:style w:type="character" w:customStyle="1" w:styleId="CommentTextChar">
    <w:name w:val="Comment Text Char"/>
    <w:basedOn w:val="DefaultParagraphFont"/>
    <w:link w:val="CommentText"/>
    <w:uiPriority w:val="99"/>
    <w:semiHidden/>
    <w:rsid w:val="00847A2F"/>
    <w:rPr>
      <w:sz w:val="20"/>
      <w:szCs w:val="20"/>
    </w:rPr>
  </w:style>
  <w:style w:type="paragraph" w:styleId="CommentSubject">
    <w:name w:val="annotation subject"/>
    <w:basedOn w:val="CommentText"/>
    <w:next w:val="CommentText"/>
    <w:link w:val="CommentSubjectChar"/>
    <w:uiPriority w:val="99"/>
    <w:semiHidden/>
    <w:unhideWhenUsed/>
    <w:rsid w:val="00847A2F"/>
    <w:rPr>
      <w:b/>
      <w:bCs/>
    </w:rPr>
  </w:style>
  <w:style w:type="character" w:customStyle="1" w:styleId="CommentSubjectChar">
    <w:name w:val="Comment Subject Char"/>
    <w:basedOn w:val="CommentTextChar"/>
    <w:link w:val="CommentSubject"/>
    <w:uiPriority w:val="99"/>
    <w:semiHidden/>
    <w:rsid w:val="00847A2F"/>
    <w:rPr>
      <w:b/>
      <w:bCs/>
      <w:sz w:val="20"/>
      <w:szCs w:val="20"/>
    </w:rPr>
  </w:style>
  <w:style w:type="paragraph" w:styleId="BalloonText">
    <w:name w:val="Balloon Text"/>
    <w:basedOn w:val="Normal"/>
    <w:link w:val="BalloonTextChar"/>
    <w:uiPriority w:val="99"/>
    <w:semiHidden/>
    <w:unhideWhenUsed/>
    <w:rsid w:val="00847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2F"/>
    <w:rPr>
      <w:rFonts w:ascii="Tahoma" w:hAnsi="Tahoma" w:cs="Tahoma"/>
      <w:sz w:val="16"/>
      <w:szCs w:val="16"/>
    </w:rPr>
  </w:style>
  <w:style w:type="paragraph" w:styleId="ListParagraph">
    <w:name w:val="List Paragraph"/>
    <w:basedOn w:val="Normal"/>
    <w:uiPriority w:val="34"/>
    <w:qFormat/>
    <w:rsid w:val="00F83686"/>
    <w:pPr>
      <w:ind w:left="720"/>
      <w:contextualSpacing/>
    </w:pPr>
  </w:style>
  <w:style w:type="paragraph" w:styleId="Header">
    <w:name w:val="header"/>
    <w:basedOn w:val="Normal"/>
    <w:link w:val="HeaderChar"/>
    <w:uiPriority w:val="99"/>
    <w:unhideWhenUsed/>
    <w:rsid w:val="00D95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447"/>
  </w:style>
  <w:style w:type="paragraph" w:styleId="Footer">
    <w:name w:val="footer"/>
    <w:basedOn w:val="Normal"/>
    <w:link w:val="FooterChar"/>
    <w:uiPriority w:val="99"/>
    <w:unhideWhenUsed/>
    <w:rsid w:val="00D95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447"/>
  </w:style>
  <w:style w:type="character" w:styleId="Hyperlink">
    <w:name w:val="Hyperlink"/>
    <w:basedOn w:val="DefaultParagraphFont"/>
    <w:uiPriority w:val="99"/>
    <w:unhideWhenUsed/>
    <w:rsid w:val="008178D5"/>
    <w:rPr>
      <w:color w:val="0000FF" w:themeColor="hyperlink"/>
      <w:u w:val="single"/>
    </w:rPr>
  </w:style>
  <w:style w:type="table" w:styleId="TableGrid">
    <w:name w:val="Table Grid"/>
    <w:basedOn w:val="TableNormal"/>
    <w:uiPriority w:val="59"/>
    <w:rsid w:val="00817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01187">
      <w:bodyDiv w:val="1"/>
      <w:marLeft w:val="0"/>
      <w:marRight w:val="0"/>
      <w:marTop w:val="0"/>
      <w:marBottom w:val="0"/>
      <w:divBdr>
        <w:top w:val="none" w:sz="0" w:space="0" w:color="auto"/>
        <w:left w:val="none" w:sz="0" w:space="0" w:color="auto"/>
        <w:bottom w:val="none" w:sz="0" w:space="0" w:color="auto"/>
        <w:right w:val="none" w:sz="0" w:space="0" w:color="auto"/>
      </w:divBdr>
    </w:div>
    <w:div w:id="20975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firstlep.com/industrial-strategy/" TargetMode="External"/><Relationship Id="rId5" Type="http://schemas.openxmlformats.org/officeDocument/2006/relationships/webSettings" Target="webSettings.xml"/><Relationship Id="rId10" Type="http://schemas.openxmlformats.org/officeDocument/2006/relationships/hyperlink" Target="https://www.cheltenham.gov.uk/recovery-strategy" TargetMode="External"/><Relationship Id="rId4" Type="http://schemas.openxmlformats.org/officeDocument/2006/relationships/settings" Target="settings.xml"/><Relationship Id="rId9" Type="http://schemas.openxmlformats.org/officeDocument/2006/relationships/hyperlink" Target="https://www.cheltenham.gov.uk/downloads/file/6343/cheltenham_place_vi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Crews</dc:creator>
  <cp:lastModifiedBy>David Jackson</cp:lastModifiedBy>
  <cp:revision>2</cp:revision>
  <dcterms:created xsi:type="dcterms:W3CDTF">2021-01-12T11:29:00Z</dcterms:created>
  <dcterms:modified xsi:type="dcterms:W3CDTF">2021-01-12T11:29:00Z</dcterms:modified>
</cp:coreProperties>
</file>